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3EFC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_GBK" w:hAnsi="方正小标宋_GBK" w:eastAsia="方正小标宋_GBK" w:cs="方正小标宋_GBK"/>
          <w:sz w:val="40"/>
          <w:szCs w:val="40"/>
          <w:lang w:eastAsia="zh-CN"/>
        </w:rPr>
      </w:pPr>
      <w:r>
        <w:rPr>
          <w:rFonts w:hint="eastAsia" w:ascii="方正小标宋_GBK" w:hAnsi="方正小标宋_GBK" w:eastAsia="方正小标宋_GBK" w:cs="方正小标宋_GBK"/>
          <w:sz w:val="40"/>
          <w:szCs w:val="40"/>
          <w:lang w:val="en-US" w:eastAsia="zh-CN"/>
        </w:rPr>
        <w:t>市财政投资公租房申请</w:t>
      </w:r>
      <w:r>
        <w:rPr>
          <w:rFonts w:hint="eastAsia" w:ascii="方正小标宋_GBK" w:hAnsi="方正小标宋_GBK" w:eastAsia="方正小标宋_GBK" w:cs="方正小标宋_GBK"/>
          <w:sz w:val="40"/>
          <w:szCs w:val="40"/>
          <w:lang w:eastAsia="zh-CN"/>
        </w:rPr>
        <w:t>“一件事”</w:t>
      </w:r>
      <w:r>
        <w:rPr>
          <w:rFonts w:hint="eastAsia" w:ascii="方正小标宋_GBK" w:hAnsi="方正小标宋_GBK" w:eastAsia="方正小标宋_GBK" w:cs="方正小标宋_GBK"/>
          <w:sz w:val="40"/>
          <w:szCs w:val="40"/>
        </w:rPr>
        <w:t>办理指南</w:t>
      </w:r>
    </w:p>
    <w:p w14:paraId="073C8A48">
      <w:pPr>
        <w:keepNext w:val="0"/>
        <w:keepLines w:val="0"/>
        <w:pageBreakBefore w:val="0"/>
        <w:widowControl w:val="0"/>
        <w:numPr>
          <w:ilvl w:val="-1"/>
          <w:numId w:val="0"/>
        </w:numPr>
        <w:kinsoku/>
        <w:wordWrap w:val="0"/>
        <w:overflowPunct/>
        <w:topLinePunct w:val="0"/>
        <w:autoSpaceDE/>
        <w:autoSpaceDN/>
        <w:bidi w:val="0"/>
        <w:adjustRightInd/>
        <w:snapToGrid/>
        <w:spacing w:line="560" w:lineRule="exact"/>
        <w:ind w:firstLine="562" w:firstLineChars="200"/>
        <w:textAlignment w:val="auto"/>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一、适用对象</w:t>
      </w:r>
    </w:p>
    <w:p w14:paraId="6932BC69">
      <w:pPr>
        <w:keepNext w:val="0"/>
        <w:keepLines w:val="0"/>
        <w:pageBreakBefore w:val="0"/>
        <w:widowControl w:val="0"/>
        <w:kinsoku/>
        <w:wordWrap/>
        <w:overflow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市财政投资的</w:t>
      </w:r>
      <w:r>
        <w:rPr>
          <w:rFonts w:hint="eastAsia" w:ascii="仿宋" w:hAnsi="仿宋" w:eastAsia="仿宋" w:cs="仿宋"/>
          <w:color w:val="auto"/>
          <w:sz w:val="28"/>
          <w:szCs w:val="28"/>
        </w:rPr>
        <w:t>公租房保障对象</w:t>
      </w:r>
      <w:r>
        <w:rPr>
          <w:rFonts w:hint="eastAsia" w:ascii="仿宋" w:hAnsi="仿宋" w:eastAsia="仿宋" w:cs="仿宋"/>
          <w:color w:val="auto"/>
          <w:sz w:val="28"/>
          <w:szCs w:val="28"/>
          <w:lang w:eastAsia="zh-CN"/>
        </w:rPr>
        <w:t>主要</w:t>
      </w:r>
      <w:r>
        <w:rPr>
          <w:rFonts w:hint="eastAsia" w:ascii="仿宋" w:hAnsi="仿宋" w:eastAsia="仿宋" w:cs="仿宋"/>
          <w:color w:val="auto"/>
          <w:sz w:val="28"/>
          <w:szCs w:val="28"/>
        </w:rPr>
        <w:t>为本市</w:t>
      </w:r>
      <w:r>
        <w:rPr>
          <w:rFonts w:hint="eastAsia" w:ascii="仿宋" w:hAnsi="仿宋" w:eastAsia="仿宋" w:cs="仿宋"/>
          <w:color w:val="auto"/>
          <w:sz w:val="28"/>
          <w:szCs w:val="28"/>
          <w:lang w:eastAsia="zh-CN"/>
        </w:rPr>
        <w:t>中心城区（不含孟津区、偃师区）户籍和在</w:t>
      </w:r>
      <w:r>
        <w:rPr>
          <w:rFonts w:hint="eastAsia" w:ascii="仿宋" w:hAnsi="仿宋" w:eastAsia="仿宋" w:cs="仿宋"/>
          <w:color w:val="auto"/>
          <w:sz w:val="28"/>
          <w:szCs w:val="28"/>
          <w:lang w:val="en-US" w:eastAsia="zh-CN"/>
        </w:rPr>
        <w:t>洛</w:t>
      </w:r>
      <w:r>
        <w:rPr>
          <w:rFonts w:hint="eastAsia" w:ascii="仿宋" w:hAnsi="仿宋" w:eastAsia="仿宋" w:cs="仿宋"/>
          <w:color w:val="auto"/>
          <w:sz w:val="28"/>
          <w:szCs w:val="28"/>
          <w:lang w:eastAsia="zh-CN"/>
        </w:rPr>
        <w:t>稳定就业的非本市户籍</w:t>
      </w:r>
      <w:r>
        <w:rPr>
          <w:rFonts w:hint="eastAsia" w:ascii="仿宋" w:hAnsi="仿宋" w:eastAsia="仿宋" w:cs="仿宋"/>
          <w:color w:val="auto"/>
          <w:sz w:val="28"/>
          <w:szCs w:val="28"/>
          <w:lang w:val="en-US" w:eastAsia="zh-CN"/>
        </w:rPr>
        <w:t>以及</w:t>
      </w:r>
      <w:r>
        <w:rPr>
          <w:rFonts w:hint="eastAsia" w:ascii="仿宋" w:hAnsi="仿宋" w:eastAsia="仿宋" w:cs="仿宋"/>
          <w:color w:val="auto"/>
          <w:sz w:val="28"/>
          <w:szCs w:val="28"/>
          <w:lang w:eastAsia="zh-CN"/>
        </w:rPr>
        <w:t>持有洛阳市中心城区有效居住证中等偏下收入住房困难家庭。</w:t>
      </w:r>
    </w:p>
    <w:p w14:paraId="02EA86FE">
      <w:pPr>
        <w:keepNext w:val="0"/>
        <w:keepLines w:val="0"/>
        <w:pageBreakBefore w:val="0"/>
        <w:widowControl w:val="0"/>
        <w:kinsoku/>
        <w:wordWrap/>
        <w:overflow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b/>
          <w:bCs/>
          <w:color w:val="auto"/>
          <w:sz w:val="28"/>
          <w:szCs w:val="28"/>
        </w:rPr>
      </w:pPr>
      <w:r>
        <w:rPr>
          <w:rFonts w:hint="eastAsia" w:ascii="仿宋" w:hAnsi="仿宋" w:eastAsia="仿宋" w:cs="仿宋"/>
          <w:color w:val="auto"/>
          <w:kern w:val="0"/>
          <w:sz w:val="28"/>
          <w:szCs w:val="28"/>
        </w:rPr>
        <w:t>（一）本市</w:t>
      </w:r>
      <w:r>
        <w:rPr>
          <w:rFonts w:hint="eastAsia" w:ascii="仿宋" w:hAnsi="仿宋" w:eastAsia="仿宋" w:cs="仿宋"/>
          <w:color w:val="auto"/>
          <w:kern w:val="0"/>
          <w:sz w:val="28"/>
          <w:szCs w:val="28"/>
          <w:lang w:val="en-US" w:eastAsia="zh-CN"/>
        </w:rPr>
        <w:t>中心城区</w:t>
      </w:r>
      <w:r>
        <w:rPr>
          <w:rFonts w:hint="eastAsia" w:ascii="仿宋" w:hAnsi="仿宋" w:eastAsia="仿宋" w:cs="仿宋"/>
          <w:color w:val="auto"/>
          <w:kern w:val="0"/>
          <w:sz w:val="28"/>
          <w:szCs w:val="28"/>
        </w:rPr>
        <w:t>户籍住房困难家庭同时符合以下条件</w:t>
      </w:r>
    </w:p>
    <w:p w14:paraId="088B6727">
      <w:pPr>
        <w:keepNext w:val="0"/>
        <w:keepLines w:val="0"/>
        <w:pageBreakBefore w:val="0"/>
        <w:widowControl w:val="0"/>
        <w:kinsoku/>
        <w:wordWrap/>
        <w:overflow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b w:val="0"/>
          <w:bCs w:val="0"/>
          <w:color w:val="auto"/>
          <w:sz w:val="28"/>
          <w:szCs w:val="28"/>
        </w:rPr>
      </w:pPr>
      <w:r>
        <w:rPr>
          <w:rFonts w:hint="eastAsia" w:ascii="仿宋" w:hAnsi="仿宋" w:eastAsia="仿宋" w:cs="仿宋"/>
          <w:color w:val="auto"/>
          <w:sz w:val="28"/>
          <w:szCs w:val="28"/>
          <w:lang w:val="en-US" w:eastAsia="zh-CN"/>
        </w:rPr>
        <w:t>1.取得</w:t>
      </w:r>
      <w:r>
        <w:rPr>
          <w:rFonts w:hint="eastAsia" w:ascii="仿宋" w:hAnsi="仿宋" w:eastAsia="仿宋" w:cs="仿宋"/>
          <w:b w:val="0"/>
          <w:bCs w:val="0"/>
          <w:color w:val="auto"/>
          <w:sz w:val="28"/>
          <w:szCs w:val="28"/>
        </w:rPr>
        <w:t>本市中心城区户籍</w:t>
      </w:r>
      <w:r>
        <w:rPr>
          <w:rFonts w:hint="eastAsia" w:ascii="仿宋" w:hAnsi="仿宋" w:eastAsia="仿宋" w:cs="仿宋"/>
          <w:b w:val="0"/>
          <w:bCs w:val="0"/>
          <w:color w:val="auto"/>
          <w:sz w:val="28"/>
          <w:szCs w:val="28"/>
          <w:lang w:eastAsia="zh-CN"/>
        </w:rPr>
        <w:t>；</w:t>
      </w:r>
    </w:p>
    <w:p w14:paraId="52330534">
      <w:pPr>
        <w:keepNext w:val="0"/>
        <w:keepLines w:val="0"/>
        <w:pageBreakBefore w:val="0"/>
        <w:widowControl w:val="0"/>
        <w:numPr>
          <w:ilvl w:val="0"/>
          <w:numId w:val="0"/>
        </w:numPr>
        <w:kinsoku/>
        <w:wordWrap/>
        <w:overflowPunct/>
        <w:autoSpaceDE/>
        <w:autoSpaceDN/>
        <w:bidi w:val="0"/>
        <w:adjustRightInd/>
        <w:snapToGrid/>
        <w:spacing w:beforeAutospacing="0" w:afterAutospacing="0" w:line="600" w:lineRule="exact"/>
        <w:ind w:right="0" w:rightChars="0" w:firstLine="560" w:firstLineChars="200"/>
        <w:jc w:val="both"/>
        <w:textAlignment w:val="auto"/>
        <w:rPr>
          <w:rFonts w:hint="eastAsia" w:ascii="仿宋" w:hAnsi="仿宋" w:eastAsia="仿宋" w:cs="仿宋"/>
          <w:color w:val="auto"/>
          <w:sz w:val="28"/>
          <w:szCs w:val="28"/>
          <w:highlight w:val="darkYellow"/>
          <w:lang w:eastAsia="zh-CN"/>
        </w:rPr>
      </w:pPr>
      <w:bookmarkStart w:id="0" w:name="OLE_LINK17"/>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城市区</w:t>
      </w:r>
      <w:r>
        <w:rPr>
          <w:rFonts w:hint="eastAsia" w:ascii="仿宋" w:hAnsi="仿宋" w:eastAsia="仿宋" w:cs="仿宋"/>
          <w:color w:val="auto"/>
          <w:sz w:val="28"/>
          <w:szCs w:val="28"/>
          <w:lang w:eastAsia="zh-CN"/>
        </w:rPr>
        <w:t>范围内无自有房产和未租住公有住房，</w:t>
      </w:r>
      <w:r>
        <w:rPr>
          <w:rFonts w:hint="eastAsia" w:ascii="仿宋" w:hAnsi="仿宋" w:eastAsia="仿宋" w:cs="仿宋"/>
          <w:color w:val="auto"/>
          <w:sz w:val="28"/>
          <w:szCs w:val="28"/>
          <w:lang w:val="en-US" w:eastAsia="zh-CN"/>
        </w:rPr>
        <w:t>户籍为城中村的需提供无宅基地证明</w:t>
      </w:r>
      <w:r>
        <w:rPr>
          <w:rFonts w:hint="eastAsia" w:ascii="仿宋" w:hAnsi="仿宋" w:eastAsia="仿宋" w:cs="仿宋"/>
          <w:color w:val="auto"/>
          <w:sz w:val="28"/>
          <w:szCs w:val="28"/>
          <w:lang w:eastAsia="zh-CN"/>
        </w:rPr>
        <w:t>；</w:t>
      </w:r>
    </w:p>
    <w:bookmarkEnd w:id="0"/>
    <w:p w14:paraId="3DCFE358">
      <w:pPr>
        <w:keepNext w:val="0"/>
        <w:keepLines w:val="0"/>
        <w:pageBreakBefore w:val="0"/>
        <w:widowControl w:val="0"/>
        <w:kinsoku/>
        <w:wordWrap/>
        <w:overflow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highlight w:val="none"/>
        </w:rPr>
      </w:pPr>
      <w:bookmarkStart w:id="1" w:name="OLE_LINK18"/>
      <w:r>
        <w:rPr>
          <w:rFonts w:hint="eastAsia" w:ascii="仿宋" w:hAnsi="仿宋" w:eastAsia="仿宋" w:cs="仿宋"/>
          <w:color w:val="auto"/>
          <w:sz w:val="28"/>
          <w:szCs w:val="28"/>
          <w:highlight w:val="none"/>
          <w:lang w:val="en-US" w:eastAsia="zh-CN"/>
        </w:rPr>
        <w:t>3.</w:t>
      </w:r>
      <w:bookmarkStart w:id="2" w:name="OLE_LINK15"/>
      <w:r>
        <w:rPr>
          <w:rFonts w:hint="eastAsia" w:ascii="仿宋" w:hAnsi="仿宋" w:eastAsia="仿宋" w:cs="仿宋"/>
          <w:color w:val="auto"/>
          <w:sz w:val="28"/>
          <w:szCs w:val="28"/>
          <w:highlight w:val="none"/>
          <w:lang w:eastAsia="zh-CN"/>
        </w:rPr>
        <w:t>家庭</w:t>
      </w:r>
      <w:r>
        <w:rPr>
          <w:rFonts w:hint="eastAsia" w:ascii="仿宋" w:hAnsi="仿宋" w:eastAsia="仿宋" w:cs="仿宋"/>
          <w:color w:val="auto"/>
          <w:sz w:val="28"/>
          <w:szCs w:val="28"/>
          <w:highlight w:val="none"/>
        </w:rPr>
        <w:t>人均月收入低于</w:t>
      </w:r>
      <w:r>
        <w:rPr>
          <w:rFonts w:hint="eastAsia" w:ascii="仿宋" w:hAnsi="仿宋" w:eastAsia="仿宋" w:cs="仿宋"/>
          <w:color w:val="auto"/>
          <w:sz w:val="28"/>
          <w:szCs w:val="28"/>
          <w:highlight w:val="none"/>
          <w:lang w:eastAsia="zh-CN"/>
        </w:rPr>
        <w:t>上年度城镇家庭可</w:t>
      </w:r>
      <w:r>
        <w:rPr>
          <w:rFonts w:hint="eastAsia" w:ascii="仿宋" w:hAnsi="仿宋" w:eastAsia="仿宋" w:cs="仿宋"/>
          <w:color w:val="000000" w:themeColor="text1"/>
          <w:sz w:val="28"/>
          <w:szCs w:val="28"/>
          <w:highlight w:val="none"/>
          <w:lang w:eastAsia="zh-CN"/>
          <w14:textFill>
            <w14:solidFill>
              <w14:schemeClr w14:val="tx1"/>
            </w14:solidFill>
          </w14:textFill>
        </w:rPr>
        <w:t>月</w:t>
      </w:r>
      <w:r>
        <w:rPr>
          <w:rFonts w:hint="eastAsia" w:ascii="仿宋" w:hAnsi="仿宋" w:eastAsia="仿宋" w:cs="仿宋"/>
          <w:color w:val="auto"/>
          <w:sz w:val="28"/>
          <w:szCs w:val="28"/>
          <w:highlight w:val="none"/>
          <w:lang w:eastAsia="zh-CN"/>
        </w:rPr>
        <w:t>支配收入</w:t>
      </w:r>
      <w:r>
        <w:rPr>
          <w:rFonts w:hint="eastAsia" w:ascii="仿宋" w:hAnsi="仿宋" w:eastAsia="仿宋" w:cs="仿宋"/>
          <w:color w:val="auto"/>
          <w:sz w:val="28"/>
          <w:szCs w:val="28"/>
          <w:highlight w:val="none"/>
        </w:rPr>
        <w:t>。</w:t>
      </w:r>
    </w:p>
    <w:bookmarkEnd w:id="1"/>
    <w:bookmarkEnd w:id="2"/>
    <w:p w14:paraId="12E68B77">
      <w:pPr>
        <w:keepNext w:val="0"/>
        <w:keepLines w:val="0"/>
        <w:pageBreakBefore w:val="0"/>
        <w:widowControl w:val="0"/>
        <w:kinsoku/>
        <w:wordWrap/>
        <w:overflowPunct/>
        <w:autoSpaceDE/>
        <w:autoSpaceDN/>
        <w:bidi w:val="0"/>
        <w:adjustRightInd/>
        <w:snapToGrid/>
        <w:spacing w:beforeAutospacing="0" w:afterAutospacing="0" w:line="600" w:lineRule="exact"/>
        <w:ind w:right="0" w:rightChars="0" w:firstLine="560" w:firstLineChars="200"/>
        <w:jc w:val="both"/>
        <w:textAlignment w:val="auto"/>
        <w:rPr>
          <w:rFonts w:hint="eastAsia" w:ascii="仿宋" w:hAnsi="仿宋" w:eastAsia="仿宋" w:cs="仿宋"/>
          <w:b w:val="0"/>
          <w:bCs w:val="0"/>
          <w:color w:val="auto"/>
          <w:kern w:val="0"/>
          <w:sz w:val="28"/>
          <w:szCs w:val="28"/>
          <w:lang w:val="en-US" w:eastAsia="zh-CN"/>
        </w:rPr>
      </w:pPr>
      <w:r>
        <w:rPr>
          <w:rFonts w:hint="eastAsia" w:ascii="仿宋" w:hAnsi="仿宋" w:eastAsia="仿宋" w:cs="仿宋"/>
          <w:color w:val="auto"/>
          <w:kern w:val="0"/>
          <w:sz w:val="28"/>
          <w:szCs w:val="28"/>
          <w:lang w:eastAsia="zh-CN"/>
        </w:rPr>
        <w:t>（二）</w:t>
      </w:r>
      <w:r>
        <w:rPr>
          <w:rFonts w:hint="eastAsia" w:ascii="仿宋" w:hAnsi="仿宋" w:eastAsia="仿宋" w:cs="仿宋"/>
          <w:color w:val="auto"/>
          <w:kern w:val="0"/>
          <w:sz w:val="28"/>
          <w:szCs w:val="28"/>
          <w:lang w:val="en-US" w:eastAsia="zh-CN"/>
        </w:rPr>
        <w:t>非</w:t>
      </w:r>
      <w:r>
        <w:rPr>
          <w:rFonts w:hint="eastAsia" w:ascii="仿宋" w:hAnsi="仿宋" w:eastAsia="仿宋" w:cs="仿宋"/>
          <w:b w:val="0"/>
          <w:bCs w:val="0"/>
          <w:color w:val="auto"/>
          <w:sz w:val="28"/>
          <w:szCs w:val="28"/>
        </w:rPr>
        <w:t>本市中心城区户籍</w:t>
      </w:r>
      <w:r>
        <w:rPr>
          <w:rFonts w:hint="eastAsia" w:ascii="仿宋" w:hAnsi="仿宋" w:eastAsia="仿宋" w:cs="仿宋"/>
          <w:b w:val="0"/>
          <w:bCs w:val="0"/>
          <w:color w:val="auto"/>
          <w:sz w:val="28"/>
          <w:szCs w:val="28"/>
          <w:lang w:val="en-US" w:eastAsia="zh-CN"/>
        </w:rPr>
        <w:t>在洛稳定就业人员</w:t>
      </w:r>
      <w:r>
        <w:rPr>
          <w:rFonts w:hint="eastAsia" w:ascii="仿宋" w:hAnsi="仿宋" w:eastAsia="仿宋" w:cs="仿宋"/>
          <w:b w:val="0"/>
          <w:bCs w:val="0"/>
          <w:color w:val="auto"/>
          <w:sz w:val="28"/>
          <w:szCs w:val="28"/>
        </w:rPr>
        <w:t>住房困难家庭</w:t>
      </w:r>
      <w:r>
        <w:rPr>
          <w:rFonts w:hint="eastAsia" w:ascii="仿宋" w:hAnsi="仿宋" w:eastAsia="仿宋" w:cs="仿宋"/>
          <w:color w:val="auto"/>
          <w:kern w:val="0"/>
          <w:sz w:val="28"/>
          <w:szCs w:val="28"/>
        </w:rPr>
        <w:t>同时符合以下条件</w:t>
      </w:r>
    </w:p>
    <w:p w14:paraId="3E409AD2">
      <w:pPr>
        <w:keepNext w:val="0"/>
        <w:keepLines w:val="0"/>
        <w:pageBreakBefore w:val="0"/>
        <w:widowControl w:val="0"/>
        <w:numPr>
          <w:ilvl w:val="0"/>
          <w:numId w:val="0"/>
        </w:numPr>
        <w:kinsoku/>
        <w:wordWrap/>
        <w:overflowPunct/>
        <w:autoSpaceDE/>
        <w:autoSpaceDN/>
        <w:bidi w:val="0"/>
        <w:adjustRightInd/>
        <w:snapToGrid/>
        <w:spacing w:beforeAutospacing="0" w:afterAutospacing="0" w:line="600" w:lineRule="exact"/>
        <w:ind w:right="0" w:rightChars="0" w:firstLine="560" w:firstLineChars="200"/>
        <w:jc w:val="both"/>
        <w:textAlignment w:val="auto"/>
        <w:rPr>
          <w:rFonts w:hint="eastAsia" w:ascii="仿宋" w:hAnsi="仿宋" w:eastAsia="仿宋" w:cs="仿宋"/>
          <w:color w:val="auto"/>
          <w:sz w:val="28"/>
          <w:szCs w:val="28"/>
          <w:lang w:eastAsia="zh-CN"/>
        </w:rPr>
      </w:pPr>
      <w:bookmarkStart w:id="3" w:name="OLE_LINK21"/>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城市区</w:t>
      </w:r>
      <w:r>
        <w:rPr>
          <w:rFonts w:hint="eastAsia" w:ascii="仿宋" w:hAnsi="仿宋" w:eastAsia="仿宋" w:cs="仿宋"/>
          <w:color w:val="auto"/>
          <w:sz w:val="28"/>
          <w:szCs w:val="28"/>
          <w:lang w:eastAsia="zh-CN"/>
        </w:rPr>
        <w:t>范围内无自有房产和未租住公有住房</w:t>
      </w:r>
      <w:bookmarkEnd w:id="3"/>
      <w:r>
        <w:rPr>
          <w:rFonts w:hint="eastAsia" w:ascii="仿宋" w:hAnsi="仿宋" w:eastAsia="仿宋" w:cs="仿宋"/>
          <w:color w:val="auto"/>
          <w:sz w:val="28"/>
          <w:szCs w:val="28"/>
          <w:lang w:val="en-US" w:eastAsia="zh-CN"/>
        </w:rPr>
        <w:t>；</w:t>
      </w:r>
    </w:p>
    <w:p w14:paraId="2C832530">
      <w:pPr>
        <w:keepNext w:val="0"/>
        <w:keepLines w:val="0"/>
        <w:pageBreakBefore w:val="0"/>
        <w:widowControl w:val="0"/>
        <w:kinsoku/>
        <w:wordWrap/>
        <w:overflowPunct/>
        <w:topLine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lang w:val="en-US" w:eastAsia="zh-CN"/>
        </w:rPr>
      </w:pPr>
      <w:bookmarkStart w:id="4" w:name="OLE_LINK22"/>
      <w:r>
        <w:rPr>
          <w:rFonts w:hint="eastAsia" w:ascii="仿宋" w:hAnsi="仿宋" w:eastAsia="仿宋" w:cs="仿宋"/>
          <w:color w:val="auto"/>
          <w:sz w:val="28"/>
          <w:szCs w:val="28"/>
          <w:lang w:val="en-US" w:eastAsia="zh-CN"/>
        </w:rPr>
        <w:t>2.在洛阳市城市区稳定就业与用人单位签订一年以上劳动合同；</w:t>
      </w:r>
    </w:p>
    <w:p w14:paraId="6D6A5A5E">
      <w:pPr>
        <w:keepNext w:val="0"/>
        <w:keepLines w:val="0"/>
        <w:pageBreakBefore w:val="0"/>
        <w:widowControl w:val="0"/>
        <w:kinsoku/>
        <w:wordWrap/>
        <w:overflowPunct/>
        <w:topLine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3.连续交纳社会保险6个月以上。</w:t>
      </w:r>
    </w:p>
    <w:bookmarkEnd w:id="4"/>
    <w:p w14:paraId="739E2E2A">
      <w:pPr>
        <w:keepNext w:val="0"/>
        <w:keepLines w:val="0"/>
        <w:pageBreakBefore w:val="0"/>
        <w:widowControl w:val="0"/>
        <w:kinsoku/>
        <w:wordWrap/>
        <w:overflowPunct/>
        <w:autoSpaceDE/>
        <w:autoSpaceDN/>
        <w:bidi w:val="0"/>
        <w:adjustRightInd/>
        <w:snapToGrid/>
        <w:spacing w:beforeAutospacing="0" w:afterAutospacing="0" w:line="600" w:lineRule="exact"/>
        <w:ind w:right="0" w:rightChars="0" w:firstLine="560" w:firstLineChars="200"/>
        <w:jc w:val="both"/>
        <w:textAlignment w:val="auto"/>
        <w:rPr>
          <w:rFonts w:hint="eastAsia" w:ascii="仿宋" w:hAnsi="仿宋" w:eastAsia="仿宋" w:cs="仿宋"/>
          <w:b w:val="0"/>
          <w:bCs w:val="0"/>
          <w:color w:val="auto"/>
          <w:kern w:val="0"/>
          <w:sz w:val="28"/>
          <w:szCs w:val="28"/>
          <w:lang w:val="en-US" w:eastAsia="zh-CN"/>
        </w:rPr>
      </w:pPr>
      <w:bookmarkStart w:id="5" w:name="OLE_LINK23"/>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lang w:val="en-US" w:eastAsia="zh-CN"/>
        </w:rPr>
        <w:t>三</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lang w:val="en-US" w:eastAsia="zh-CN"/>
        </w:rPr>
        <w:t>持有洛阳市有效期居住证人员</w:t>
      </w:r>
      <w:r>
        <w:rPr>
          <w:rFonts w:hint="eastAsia" w:ascii="仿宋" w:hAnsi="仿宋" w:eastAsia="仿宋" w:cs="仿宋"/>
          <w:color w:val="auto"/>
          <w:kern w:val="0"/>
          <w:sz w:val="28"/>
          <w:szCs w:val="28"/>
        </w:rPr>
        <w:t>同时符合以下条件</w:t>
      </w:r>
    </w:p>
    <w:p w14:paraId="79901B0A">
      <w:pPr>
        <w:keepNext w:val="0"/>
        <w:keepLines w:val="0"/>
        <w:pageBreakBefore w:val="0"/>
        <w:widowControl w:val="0"/>
        <w:kinsoku/>
        <w:wordWrap/>
        <w:overflow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1.持有《洛阳市居住证》有效其内的；</w:t>
      </w:r>
    </w:p>
    <w:p w14:paraId="00850A2B">
      <w:pPr>
        <w:keepNext w:val="0"/>
        <w:keepLines w:val="0"/>
        <w:pageBreakBefore w:val="0"/>
        <w:widowControl w:val="0"/>
        <w:kinsoku/>
        <w:wordWrap/>
        <w:overflow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城市区</w:t>
      </w:r>
      <w:r>
        <w:rPr>
          <w:rFonts w:hint="eastAsia" w:ascii="仿宋" w:hAnsi="仿宋" w:eastAsia="仿宋" w:cs="仿宋"/>
          <w:color w:val="auto"/>
          <w:sz w:val="28"/>
          <w:szCs w:val="28"/>
          <w:lang w:eastAsia="zh-CN"/>
        </w:rPr>
        <w:t>范围内无自有房产和未租住公有住房。</w:t>
      </w:r>
    </w:p>
    <w:p w14:paraId="6D86DC09">
      <w:pPr>
        <w:keepNext w:val="0"/>
        <w:keepLines w:val="0"/>
        <w:pageBreakBefore w:val="0"/>
        <w:widowControl w:val="0"/>
        <w:kinsoku/>
        <w:wordWrap/>
        <w:overflowPunct/>
        <w:topLine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w:t>
      </w:r>
      <w:bookmarkStart w:id="6" w:name="OLE_LINK16"/>
      <w:r>
        <w:rPr>
          <w:rFonts w:hint="eastAsia" w:ascii="仿宋" w:hAnsi="仿宋" w:eastAsia="仿宋" w:cs="仿宋"/>
          <w:color w:val="auto"/>
          <w:sz w:val="28"/>
          <w:szCs w:val="28"/>
          <w:lang w:val="en-US" w:eastAsia="zh-CN"/>
        </w:rPr>
        <w:t>一年内累计交纳社会保险6个月以上</w:t>
      </w:r>
      <w:bookmarkEnd w:id="6"/>
      <w:r>
        <w:rPr>
          <w:rFonts w:hint="eastAsia" w:ascii="仿宋" w:hAnsi="仿宋" w:eastAsia="仿宋" w:cs="仿宋"/>
          <w:color w:val="auto"/>
          <w:sz w:val="28"/>
          <w:szCs w:val="28"/>
          <w:lang w:val="en-US" w:eastAsia="zh-CN"/>
        </w:rPr>
        <w:t>。</w:t>
      </w:r>
    </w:p>
    <w:bookmarkEnd w:id="5"/>
    <w:p w14:paraId="7AC2AA7C">
      <w:pPr>
        <w:keepNext w:val="0"/>
        <w:keepLines w:val="0"/>
        <w:pageBreakBefore w:val="0"/>
        <w:widowControl w:val="0"/>
        <w:kinsoku/>
        <w:wordWrap/>
        <w:overflowPunct/>
        <w:autoSpaceDE/>
        <w:autoSpaceDN/>
        <w:bidi w:val="0"/>
        <w:adjustRightInd/>
        <w:snapToGrid/>
        <w:spacing w:beforeAutospacing="0" w:afterAutospacing="0" w:line="600" w:lineRule="exact"/>
        <w:ind w:right="0" w:rightChars="0"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(四)申请人或共同申请人有下列情形之一不得申请</w:t>
      </w:r>
    </w:p>
    <w:p w14:paraId="66667A6C">
      <w:pPr>
        <w:keepNext w:val="0"/>
        <w:keepLines w:val="0"/>
        <w:pageBreakBefore w:val="0"/>
        <w:widowControl w:val="0"/>
        <w:kinsoku/>
        <w:wordWrap/>
        <w:overflow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申请家庭已在本市享受过</w:t>
      </w:r>
      <w:r>
        <w:rPr>
          <w:rFonts w:hint="eastAsia" w:ascii="仿宋" w:hAnsi="仿宋" w:eastAsia="仿宋" w:cs="仿宋"/>
          <w:color w:val="auto"/>
          <w:sz w:val="28"/>
          <w:szCs w:val="28"/>
          <w:lang w:val="en-US" w:eastAsia="zh-CN"/>
        </w:rPr>
        <w:t>拆迁安置房、</w:t>
      </w:r>
      <w:r>
        <w:rPr>
          <w:rFonts w:hint="eastAsia" w:ascii="仿宋" w:hAnsi="仿宋" w:eastAsia="仿宋" w:cs="仿宋"/>
          <w:color w:val="auto"/>
          <w:sz w:val="28"/>
          <w:szCs w:val="28"/>
          <w:lang w:eastAsia="zh-CN"/>
        </w:rPr>
        <w:t>经适房、房改房的不再享受公租房保障（因重大疾病或家庭重大变故等不可抗拒原因并能提供相关证明材料除外）；</w:t>
      </w:r>
    </w:p>
    <w:p w14:paraId="7482E9D6">
      <w:pPr>
        <w:keepNext w:val="0"/>
        <w:keepLines w:val="0"/>
        <w:pageBreakBefore w:val="0"/>
        <w:widowControl w:val="0"/>
        <w:kinsoku/>
        <w:wordWrap/>
        <w:overflow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rPr>
      </w:pPr>
      <w:bookmarkStart w:id="7" w:name="OLE_LINK19"/>
      <w:bookmarkStart w:id="8" w:name="OLE_LINK10"/>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申请家庭</w:t>
      </w:r>
      <w:r>
        <w:rPr>
          <w:rFonts w:hint="eastAsia" w:ascii="仿宋" w:hAnsi="仿宋" w:eastAsia="仿宋" w:cs="仿宋"/>
          <w:color w:val="auto"/>
          <w:sz w:val="28"/>
          <w:szCs w:val="28"/>
        </w:rPr>
        <w:t>购有</w:t>
      </w:r>
      <w:r>
        <w:rPr>
          <w:rFonts w:hint="eastAsia" w:ascii="仿宋" w:hAnsi="仿宋" w:eastAsia="仿宋" w:cs="仿宋"/>
          <w:color w:val="auto"/>
          <w:sz w:val="28"/>
          <w:szCs w:val="28"/>
          <w:lang w:val="en-US" w:eastAsia="zh-CN"/>
        </w:rPr>
        <w:t>10</w:t>
      </w:r>
      <w:r>
        <w:rPr>
          <w:rFonts w:hint="eastAsia" w:ascii="仿宋" w:hAnsi="仿宋" w:eastAsia="仿宋" w:cs="仿宋"/>
          <w:color w:val="auto"/>
          <w:sz w:val="28"/>
          <w:szCs w:val="28"/>
        </w:rPr>
        <w:t>万元（以车辆购置税发票上计税金额为准）以上</w:t>
      </w:r>
      <w:r>
        <w:rPr>
          <w:rFonts w:hint="eastAsia" w:ascii="仿宋" w:hAnsi="仿宋" w:eastAsia="仿宋" w:cs="仿宋"/>
          <w:color w:val="auto"/>
          <w:sz w:val="28"/>
          <w:szCs w:val="28"/>
          <w:lang w:val="en-US" w:eastAsia="zh-CN"/>
        </w:rPr>
        <w:t>非</w:t>
      </w:r>
      <w:r>
        <w:rPr>
          <w:rFonts w:hint="eastAsia" w:ascii="仿宋" w:hAnsi="仿宋" w:eastAsia="仿宋" w:cs="仿宋"/>
          <w:color w:val="auto"/>
          <w:sz w:val="28"/>
          <w:szCs w:val="28"/>
          <w:lang w:eastAsia="zh-CN"/>
        </w:rPr>
        <w:t>营运车辆</w:t>
      </w:r>
      <w:r>
        <w:rPr>
          <w:rFonts w:hint="eastAsia" w:ascii="仿宋" w:hAnsi="仿宋" w:eastAsia="仿宋" w:cs="仿宋"/>
          <w:color w:val="auto"/>
          <w:sz w:val="28"/>
          <w:szCs w:val="28"/>
          <w:lang w:val="en-US" w:eastAsia="zh-CN"/>
        </w:rPr>
        <w:t>或2台以上</w:t>
      </w:r>
      <w:r>
        <w:rPr>
          <w:rFonts w:hint="eastAsia" w:ascii="仿宋" w:hAnsi="仿宋" w:eastAsia="仿宋" w:cs="仿宋"/>
          <w:color w:val="000000" w:themeColor="text1"/>
          <w:sz w:val="28"/>
          <w:szCs w:val="28"/>
          <w:lang w:eastAsia="zh-CN"/>
          <w14:textFill>
            <w14:solidFill>
              <w14:schemeClr w14:val="tx1"/>
            </w14:solidFill>
          </w14:textFill>
        </w:rPr>
        <w:t>机动</w:t>
      </w:r>
      <w:r>
        <w:rPr>
          <w:rFonts w:hint="eastAsia" w:ascii="仿宋" w:hAnsi="仿宋" w:eastAsia="仿宋" w:cs="仿宋"/>
          <w:color w:val="auto"/>
          <w:sz w:val="28"/>
          <w:szCs w:val="28"/>
          <w:lang w:eastAsia="zh-CN"/>
        </w:rPr>
        <w:t>车辆</w:t>
      </w:r>
      <w:r>
        <w:rPr>
          <w:rFonts w:hint="eastAsia" w:ascii="仿宋" w:hAnsi="仿宋" w:eastAsia="仿宋" w:cs="仿宋"/>
          <w:color w:val="auto"/>
          <w:sz w:val="28"/>
          <w:szCs w:val="28"/>
        </w:rPr>
        <w:t>；</w:t>
      </w:r>
    </w:p>
    <w:bookmarkEnd w:id="7"/>
    <w:p w14:paraId="680D84E7">
      <w:pPr>
        <w:keepNext w:val="0"/>
        <w:keepLines w:val="0"/>
        <w:pageBreakBefore w:val="0"/>
        <w:widowControl w:val="0"/>
        <w:kinsoku/>
        <w:wordWrap/>
        <w:overflow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highlight w:val="none"/>
        </w:rPr>
      </w:pPr>
      <w:bookmarkStart w:id="9" w:name="OLE_LINK20"/>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申请家庭</w:t>
      </w:r>
      <w:bookmarkStart w:id="10" w:name="OLE_LINK14"/>
      <w:r>
        <w:rPr>
          <w:rFonts w:hint="eastAsia" w:ascii="仿宋" w:hAnsi="仿宋" w:eastAsia="仿宋" w:cs="仿宋"/>
          <w:color w:val="auto"/>
          <w:sz w:val="28"/>
          <w:szCs w:val="28"/>
          <w:lang w:eastAsia="zh-CN"/>
        </w:rPr>
        <w:t>在本市</w:t>
      </w:r>
      <w:r>
        <w:rPr>
          <w:rFonts w:hint="eastAsia" w:ascii="仿宋" w:hAnsi="仿宋" w:eastAsia="仿宋" w:cs="仿宋"/>
          <w:color w:val="auto"/>
          <w:sz w:val="28"/>
          <w:szCs w:val="28"/>
        </w:rPr>
        <w:t>名下</w:t>
      </w:r>
      <w:r>
        <w:rPr>
          <w:rFonts w:hint="eastAsia" w:ascii="仿宋" w:hAnsi="仿宋" w:eastAsia="仿宋" w:cs="仿宋"/>
          <w:color w:val="auto"/>
          <w:sz w:val="28"/>
          <w:szCs w:val="28"/>
          <w:lang w:val="en-US" w:eastAsia="zh-CN"/>
        </w:rPr>
        <w:t>有</w:t>
      </w:r>
      <w:r>
        <w:rPr>
          <w:rFonts w:hint="eastAsia" w:ascii="仿宋" w:hAnsi="仿宋" w:eastAsia="仿宋" w:cs="仿宋"/>
          <w:color w:val="auto"/>
          <w:sz w:val="28"/>
          <w:szCs w:val="28"/>
        </w:rPr>
        <w:t>注册公司</w:t>
      </w:r>
      <w:r>
        <w:rPr>
          <w:rFonts w:hint="eastAsia" w:ascii="仿宋" w:hAnsi="仿宋" w:eastAsia="仿宋" w:cs="仿宋"/>
          <w:color w:val="auto"/>
          <w:sz w:val="28"/>
          <w:szCs w:val="28"/>
          <w:lang w:eastAsia="zh-CN"/>
        </w:rPr>
        <w:t>或在公司里担</w:t>
      </w:r>
      <w:r>
        <w:rPr>
          <w:rFonts w:hint="eastAsia" w:ascii="仿宋" w:hAnsi="仿宋" w:eastAsia="仿宋" w:cs="仿宋"/>
          <w:color w:val="auto"/>
          <w:sz w:val="28"/>
          <w:szCs w:val="28"/>
          <w:lang w:val="en-US" w:eastAsia="zh-CN"/>
        </w:rPr>
        <w:t>任理事、监事、股东等</w:t>
      </w:r>
      <w:bookmarkEnd w:id="10"/>
      <w:r>
        <w:rPr>
          <w:rFonts w:hint="eastAsia" w:ascii="仿宋" w:hAnsi="仿宋" w:eastAsia="仿宋" w:cs="仿宋"/>
          <w:color w:val="auto"/>
          <w:sz w:val="28"/>
          <w:szCs w:val="28"/>
        </w:rPr>
        <w:t>；</w:t>
      </w:r>
    </w:p>
    <w:bookmarkEnd w:id="8"/>
    <w:bookmarkEnd w:id="9"/>
    <w:p w14:paraId="71C1D08A">
      <w:pPr>
        <w:keepNext w:val="0"/>
        <w:keepLines w:val="0"/>
        <w:pageBreakBefore w:val="0"/>
        <w:widowControl w:val="0"/>
        <w:kinsoku/>
        <w:wordWrap/>
        <w:overflow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4.曾恶意占用公租房、恶意拖欠租金被起诉或已经被强制清退的。</w:t>
      </w:r>
    </w:p>
    <w:p w14:paraId="2326076A">
      <w:pPr>
        <w:keepNext w:val="0"/>
        <w:keepLines w:val="0"/>
        <w:pageBreakBefore w:val="0"/>
        <w:widowControl w:val="0"/>
        <w:kinsoku/>
        <w:wordWrap/>
        <w:overflowPunct/>
        <w:topLine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洛阳市廉租住房保障条件、配租标准及租金标准、货币补贴标准</w:t>
      </w:r>
    </w:p>
    <w:p w14:paraId="036920FE">
      <w:pPr>
        <w:keepNext w:val="0"/>
        <w:keepLines w:val="0"/>
        <w:pageBreakBefore w:val="0"/>
        <w:widowControl w:val="0"/>
        <w:kinsoku/>
        <w:wordWrap/>
        <w:overflowPunct/>
        <w:topLine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lang w:val="en-US" w:eastAsia="zh-CN"/>
        </w:rPr>
      </w:pPr>
      <w:bookmarkStart w:id="11" w:name="OLE_LINK29"/>
      <w:r>
        <w:rPr>
          <w:rFonts w:hint="eastAsia" w:ascii="仿宋" w:hAnsi="仿宋" w:eastAsia="仿宋" w:cs="仿宋"/>
          <w:color w:val="auto"/>
          <w:sz w:val="28"/>
          <w:szCs w:val="28"/>
          <w:lang w:val="en-US" w:eastAsia="zh-CN"/>
        </w:rPr>
        <w:t>廉租住房按照户籍所在辖区进行申请、审核、保障。</w:t>
      </w:r>
    </w:p>
    <w:bookmarkEnd w:id="11"/>
    <w:p w14:paraId="628B4C97">
      <w:pPr>
        <w:keepNext w:val="0"/>
        <w:keepLines w:val="0"/>
        <w:pageBreakBefore w:val="0"/>
        <w:widowControl w:val="0"/>
        <w:kinsoku/>
        <w:wordWrap/>
        <w:overflowPunct/>
        <w:topLine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lang w:val="en-US" w:eastAsia="zh-CN"/>
        </w:rPr>
      </w:pPr>
      <w:bookmarkStart w:id="12" w:name="OLE_LINK30"/>
      <w:r>
        <w:rPr>
          <w:rFonts w:hint="eastAsia" w:ascii="仿宋" w:hAnsi="仿宋" w:eastAsia="仿宋" w:cs="仿宋"/>
          <w:color w:val="auto"/>
          <w:sz w:val="28"/>
          <w:szCs w:val="28"/>
          <w:lang w:val="en-US" w:eastAsia="zh-CN"/>
        </w:rPr>
        <w:t>（一）廉租住房保障条件</w:t>
      </w:r>
    </w:p>
    <w:bookmarkEnd w:id="12"/>
    <w:p w14:paraId="6A37CB6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92" w:rightChars="-44" w:firstLine="560" w:firstLineChars="200"/>
        <w:jc w:val="both"/>
        <w:textAlignment w:val="auto"/>
        <w:rPr>
          <w:rFonts w:hint="eastAsia" w:ascii="仿宋" w:hAnsi="仿宋" w:eastAsia="仿宋" w:cs="仿宋"/>
          <w:b w:val="0"/>
          <w:bCs w:val="0"/>
          <w:color w:val="auto"/>
          <w:sz w:val="28"/>
          <w:szCs w:val="28"/>
          <w:lang w:val="en-US" w:eastAsia="zh-CN"/>
        </w:rPr>
      </w:pPr>
      <w:bookmarkStart w:id="13" w:name="OLE_LINK31"/>
      <w:r>
        <w:rPr>
          <w:rFonts w:hint="eastAsia" w:ascii="仿宋" w:hAnsi="仿宋" w:eastAsia="仿宋" w:cs="仿宋"/>
          <w:b w:val="0"/>
          <w:bCs w:val="0"/>
          <w:color w:val="auto"/>
          <w:sz w:val="28"/>
          <w:szCs w:val="28"/>
          <w:lang w:val="en-US" w:eastAsia="zh-CN"/>
        </w:rPr>
        <w:t>1.洛阳市中心城区户籍居民；</w:t>
      </w:r>
    </w:p>
    <w:bookmarkEnd w:id="13"/>
    <w:p w14:paraId="4A7E7DB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92" w:rightChars="-44"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b w:val="0"/>
          <w:bCs w:val="0"/>
          <w:color w:val="auto"/>
          <w:sz w:val="28"/>
          <w:szCs w:val="28"/>
          <w:lang w:val="en-US" w:eastAsia="zh-CN"/>
        </w:rPr>
        <w:t>2.</w:t>
      </w:r>
      <w:bookmarkStart w:id="14" w:name="OLE_LINK32"/>
      <w:r>
        <w:rPr>
          <w:rFonts w:hint="eastAsia" w:ascii="仿宋" w:hAnsi="仿宋" w:eastAsia="仿宋" w:cs="仿宋"/>
          <w:color w:val="auto"/>
          <w:sz w:val="28"/>
          <w:szCs w:val="28"/>
        </w:rPr>
        <w:t>经民政部门认定</w:t>
      </w:r>
      <w:r>
        <w:rPr>
          <w:rFonts w:hint="eastAsia" w:ascii="仿宋" w:hAnsi="仿宋" w:eastAsia="仿宋" w:cs="仿宋"/>
          <w:color w:val="auto"/>
          <w:sz w:val="28"/>
          <w:szCs w:val="28"/>
          <w:lang w:eastAsia="zh-CN"/>
        </w:rPr>
        <w:t>的</w:t>
      </w:r>
      <w:r>
        <w:rPr>
          <w:rFonts w:hint="eastAsia" w:ascii="仿宋" w:hAnsi="仿宋" w:eastAsia="仿宋" w:cs="仿宋"/>
          <w:color w:val="auto"/>
          <w:sz w:val="28"/>
          <w:szCs w:val="28"/>
          <w:lang w:val="en-US" w:eastAsia="zh-CN"/>
        </w:rPr>
        <w:t>城市分散供养特困家庭、城市最低生活保障家庭、</w:t>
      </w:r>
      <w:bookmarkStart w:id="15" w:name="OLE_LINK4"/>
      <w:r>
        <w:rPr>
          <w:rFonts w:hint="eastAsia" w:ascii="仿宋" w:hAnsi="仿宋" w:eastAsia="仿宋" w:cs="仿宋"/>
          <w:color w:val="auto"/>
          <w:sz w:val="28"/>
          <w:szCs w:val="28"/>
          <w:lang w:val="en-US" w:eastAsia="zh-CN"/>
        </w:rPr>
        <w:t>城市最低生活保障边缘家庭</w:t>
      </w:r>
      <w:bookmarkEnd w:id="15"/>
      <w:r>
        <w:rPr>
          <w:rFonts w:hint="eastAsia" w:ascii="仿宋" w:hAnsi="仿宋" w:eastAsia="仿宋" w:cs="仿宋"/>
          <w:color w:val="auto"/>
          <w:sz w:val="28"/>
          <w:szCs w:val="28"/>
          <w:lang w:val="en-US" w:eastAsia="zh-CN"/>
        </w:rPr>
        <w:t>和</w:t>
      </w:r>
      <w:bookmarkStart w:id="16" w:name="OLE_LINK6"/>
      <w:r>
        <w:rPr>
          <w:rFonts w:hint="eastAsia" w:ascii="仿宋" w:hAnsi="仿宋" w:eastAsia="仿宋" w:cs="仿宋"/>
          <w:color w:val="auto"/>
          <w:sz w:val="28"/>
          <w:szCs w:val="28"/>
          <w:lang w:val="en-US" w:eastAsia="zh-CN"/>
        </w:rPr>
        <w:t>刚性支出困难家庭</w:t>
      </w:r>
      <w:bookmarkEnd w:id="16"/>
      <w:r>
        <w:rPr>
          <w:rFonts w:hint="eastAsia" w:ascii="仿宋" w:hAnsi="仿宋" w:eastAsia="仿宋" w:cs="仿宋"/>
          <w:color w:val="auto"/>
          <w:sz w:val="28"/>
          <w:szCs w:val="28"/>
          <w:lang w:val="en-US" w:eastAsia="zh-CN"/>
        </w:rPr>
        <w:t>；</w:t>
      </w:r>
    </w:p>
    <w:bookmarkEnd w:id="14"/>
    <w:p w14:paraId="52164B1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8" w:leftChars="304" w:right="-92" w:rightChars="-44" w:firstLine="0" w:firstLineChars="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w:t>
      </w:r>
      <w:bookmarkStart w:id="17" w:name="OLE_LINK33"/>
      <w:r>
        <w:rPr>
          <w:rFonts w:hint="eastAsia" w:ascii="仿宋" w:hAnsi="仿宋" w:eastAsia="仿宋" w:cs="仿宋"/>
          <w:b w:val="0"/>
          <w:bCs w:val="0"/>
          <w:color w:val="auto"/>
          <w:sz w:val="28"/>
          <w:szCs w:val="28"/>
          <w:lang w:val="en-US" w:eastAsia="zh-CN"/>
        </w:rPr>
        <w:t>洛阳市城市区无住房或家庭人均住房面积17㎡以下。</w:t>
      </w:r>
      <w:bookmarkEnd w:id="17"/>
    </w:p>
    <w:p w14:paraId="4B9D602F">
      <w:pPr>
        <w:keepNext w:val="0"/>
        <w:keepLines w:val="0"/>
        <w:pageBreakBefore w:val="0"/>
        <w:widowControl w:val="0"/>
        <w:kinsoku/>
        <w:wordWrap/>
        <w:overflowPunct/>
        <w:topLine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lang w:val="en-US" w:eastAsia="zh-CN"/>
        </w:rPr>
      </w:pPr>
      <w:bookmarkStart w:id="18" w:name="OLE_LINK34"/>
      <w:r>
        <w:rPr>
          <w:rFonts w:hint="eastAsia" w:ascii="仿宋" w:hAnsi="仿宋" w:eastAsia="仿宋" w:cs="仿宋"/>
          <w:color w:val="auto"/>
          <w:sz w:val="28"/>
          <w:szCs w:val="28"/>
          <w:lang w:val="en-US" w:eastAsia="zh-CN"/>
        </w:rPr>
        <w:t>（二）廉租住房保障标准及配租租金标准</w:t>
      </w:r>
    </w:p>
    <w:bookmarkEnd w:id="18"/>
    <w:p w14:paraId="5C2D2955">
      <w:pPr>
        <w:keepNext w:val="0"/>
        <w:keepLines w:val="0"/>
        <w:pageBreakBefore w:val="0"/>
        <w:widowControl w:val="0"/>
        <w:kinsoku/>
        <w:wordWrap/>
        <w:overflowPunct/>
        <w:topLine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lang w:val="en-US" w:eastAsia="zh-CN"/>
        </w:rPr>
      </w:pPr>
      <w:bookmarkStart w:id="19" w:name="OLE_LINK35"/>
      <w:r>
        <w:rPr>
          <w:rFonts w:hint="eastAsia" w:ascii="仿宋" w:hAnsi="仿宋" w:eastAsia="仿宋" w:cs="仿宋"/>
          <w:color w:val="auto"/>
          <w:sz w:val="28"/>
          <w:szCs w:val="28"/>
          <w:lang w:val="en-US" w:eastAsia="zh-CN"/>
        </w:rPr>
        <w:t>1.一人户家庭20平方米，二人户家庭35平方米，三人户以上家庭50平方米；</w:t>
      </w:r>
    </w:p>
    <w:bookmarkEnd w:id="19"/>
    <w:p w14:paraId="5AD8D6A6">
      <w:pPr>
        <w:keepNext w:val="0"/>
        <w:keepLines w:val="0"/>
        <w:pageBreakBefore w:val="0"/>
        <w:widowControl w:val="0"/>
        <w:kinsoku/>
        <w:wordWrap/>
        <w:overflowPunct/>
        <w:topLine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2.在保障面积内，0.85元/平方米/月，超出标准面积部分（不超5平方米内按基准租金计算）按2元</w:t>
      </w:r>
      <w:bookmarkStart w:id="20" w:name="OLE_LINK7"/>
      <w:r>
        <w:rPr>
          <w:rFonts w:hint="eastAsia" w:ascii="仿宋" w:hAnsi="仿宋" w:eastAsia="仿宋" w:cs="仿宋"/>
          <w:color w:val="auto"/>
          <w:sz w:val="28"/>
          <w:szCs w:val="28"/>
          <w:lang w:val="en-US" w:eastAsia="zh-CN"/>
        </w:rPr>
        <w:t>/</w:t>
      </w:r>
      <w:bookmarkEnd w:id="20"/>
      <w:r>
        <w:rPr>
          <w:rFonts w:hint="eastAsia" w:ascii="仿宋" w:hAnsi="仿宋" w:eastAsia="仿宋" w:cs="仿宋"/>
          <w:color w:val="auto"/>
          <w:sz w:val="28"/>
          <w:szCs w:val="28"/>
          <w:lang w:val="en-US" w:eastAsia="zh-CN"/>
        </w:rPr>
        <w:t>平方米/月。</w:t>
      </w:r>
    </w:p>
    <w:p w14:paraId="348D7CB1">
      <w:pPr>
        <w:keepNext w:val="0"/>
        <w:keepLines w:val="0"/>
        <w:pageBreakBefore w:val="0"/>
        <w:widowControl w:val="0"/>
        <w:kinsoku/>
        <w:wordWrap/>
        <w:overflowPunct/>
        <w:topLine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（三）廉租住房货币补贴标准</w:t>
      </w:r>
    </w:p>
    <w:p w14:paraId="5074911D">
      <w:pPr>
        <w:keepNext w:val="0"/>
        <w:keepLines w:val="0"/>
        <w:pageBreakBefore w:val="0"/>
        <w:widowControl w:val="0"/>
        <w:kinsoku/>
        <w:wordWrap/>
        <w:overflowPunct/>
        <w:topLinePunct/>
        <w:autoSpaceDE/>
        <w:autoSpaceDN/>
        <w:bidi w:val="0"/>
        <w:adjustRightInd/>
        <w:snapToGrid/>
        <w:spacing w:beforeAutospacing="0" w:afterAutospacing="0" w:line="600" w:lineRule="exact"/>
        <w:ind w:left="638" w:leftChars="304" w:right="0" w:rightChars="0" w:firstLine="0" w:firstLineChars="0"/>
        <w:jc w:val="both"/>
        <w:textAlignment w:val="auto"/>
        <w:rPr>
          <w:rFonts w:hint="eastAsia" w:ascii="仿宋" w:hAnsi="仿宋" w:eastAsia="仿宋" w:cs="仿宋"/>
          <w:color w:val="auto"/>
          <w:sz w:val="28"/>
          <w:szCs w:val="28"/>
          <w:lang w:val="en-US" w:eastAsia="zh-CN"/>
        </w:rPr>
      </w:pPr>
      <w:bookmarkStart w:id="21" w:name="OLE_LINK36"/>
      <w:r>
        <w:rPr>
          <w:rFonts w:hint="eastAsia" w:ascii="仿宋" w:hAnsi="仿宋" w:eastAsia="仿宋" w:cs="仿宋"/>
          <w:color w:val="auto"/>
          <w:sz w:val="28"/>
          <w:szCs w:val="28"/>
          <w:lang w:val="en-US" w:eastAsia="zh-CN"/>
        </w:rPr>
        <w:t>1.人均保障为建筑面积17平方米，实行差额面积保障</w:t>
      </w:r>
      <w:bookmarkEnd w:id="21"/>
      <w:r>
        <w:rPr>
          <w:rFonts w:hint="eastAsia" w:ascii="仿宋" w:hAnsi="仿宋" w:eastAsia="仿宋" w:cs="仿宋"/>
          <w:color w:val="auto"/>
          <w:sz w:val="28"/>
          <w:szCs w:val="28"/>
          <w:lang w:val="en-US" w:eastAsia="zh-CN"/>
        </w:rPr>
        <w:t>；</w:t>
      </w:r>
    </w:p>
    <w:p w14:paraId="03390786">
      <w:pPr>
        <w:keepNext w:val="0"/>
        <w:keepLines w:val="0"/>
        <w:pageBreakBefore w:val="0"/>
        <w:widowControl w:val="0"/>
        <w:kinsoku/>
        <w:wordWrap/>
        <w:overflowPunct/>
        <w:topLinePunct/>
        <w:autoSpaceDE/>
        <w:autoSpaceDN/>
        <w:bidi w:val="0"/>
        <w:adjustRightInd/>
        <w:snapToGrid/>
        <w:spacing w:beforeAutospacing="0" w:afterAutospacing="0" w:line="600" w:lineRule="exact"/>
        <w:ind w:right="0" w:rightChars="0" w:firstLine="560" w:firstLineChars="200"/>
        <w:jc w:val="both"/>
        <w:textAlignment w:val="auto"/>
        <w:rPr>
          <w:rFonts w:hint="eastAsia" w:ascii="仿宋" w:hAnsi="仿宋" w:eastAsia="仿宋" w:cs="仿宋"/>
          <w:color w:val="auto"/>
          <w:sz w:val="28"/>
          <w:szCs w:val="28"/>
          <w:lang w:val="en-US" w:eastAsia="zh-CN"/>
        </w:rPr>
      </w:pPr>
      <w:bookmarkStart w:id="22" w:name="OLE_LINK37"/>
      <w:r>
        <w:rPr>
          <w:rFonts w:hint="eastAsia" w:ascii="仿宋" w:hAnsi="仿宋" w:eastAsia="仿宋" w:cs="仿宋"/>
          <w:color w:val="auto"/>
          <w:sz w:val="28"/>
          <w:szCs w:val="28"/>
          <w:lang w:val="en-US" w:eastAsia="zh-CN"/>
        </w:rPr>
        <w:t>2.</w:t>
      </w:r>
      <w:bookmarkStart w:id="23" w:name="OLE_LINK12"/>
      <w:r>
        <w:rPr>
          <w:rFonts w:hint="eastAsia" w:ascii="仿宋" w:hAnsi="仿宋" w:eastAsia="仿宋" w:cs="仿宋"/>
          <w:color w:val="auto"/>
          <w:sz w:val="28"/>
          <w:szCs w:val="28"/>
          <w:lang w:val="en-US" w:eastAsia="zh-CN"/>
        </w:rPr>
        <w:t>城市分散供养特困家庭每人10元/月/平方米、城市最低生活保障家庭每人9元/月/平方米、城市最低生活保障边缘家庭每人8元/月/平方米、刚性支出困难家庭每人7元/月/平方米；</w:t>
      </w:r>
    </w:p>
    <w:bookmarkEnd w:id="22"/>
    <w:bookmarkEnd w:id="23"/>
    <w:p w14:paraId="563E8D3B">
      <w:pPr>
        <w:keepNext w:val="0"/>
        <w:keepLines w:val="0"/>
        <w:pageBreakBefore w:val="0"/>
        <w:widowControl w:val="0"/>
        <w:kinsoku/>
        <w:wordWrap/>
        <w:overflowPunct/>
        <w:topLinePunct/>
        <w:autoSpaceDE/>
        <w:autoSpaceDN/>
        <w:bidi w:val="0"/>
        <w:adjustRightInd/>
        <w:snapToGrid/>
        <w:spacing w:beforeAutospacing="0" w:afterAutospacing="0" w:line="600" w:lineRule="exact"/>
        <w:ind w:right="0" w:rightChars="0" w:firstLine="560" w:firstLineChars="200"/>
        <w:jc w:val="both"/>
        <w:textAlignment w:val="auto"/>
        <w:rPr>
          <w:rFonts w:hint="eastAsia" w:ascii="仿宋" w:hAnsi="仿宋" w:eastAsia="仿宋" w:cs="仿宋"/>
          <w:color w:val="auto"/>
          <w:sz w:val="28"/>
          <w:szCs w:val="28"/>
          <w:lang w:val="en-US" w:eastAsia="zh-CN"/>
        </w:rPr>
      </w:pPr>
      <w:bookmarkStart w:id="24" w:name="OLE_LINK38"/>
      <w:r>
        <w:rPr>
          <w:rFonts w:hint="eastAsia" w:ascii="仿宋" w:hAnsi="仿宋" w:eastAsia="仿宋" w:cs="仿宋"/>
          <w:color w:val="auto"/>
          <w:sz w:val="28"/>
          <w:szCs w:val="28"/>
          <w:lang w:val="en-US" w:eastAsia="zh-CN"/>
        </w:rPr>
        <w:t>3.最低保障标准为每人每月30元（每人每月不足30元的按30元补贴）。</w:t>
      </w:r>
      <w:bookmarkEnd w:id="24"/>
    </w:p>
    <w:p w14:paraId="3ECA0C1C">
      <w:pPr>
        <w:keepNext w:val="0"/>
        <w:keepLines w:val="0"/>
        <w:pageBreakBefore w:val="0"/>
        <w:widowControl w:val="0"/>
        <w:kinsoku/>
        <w:wordWrap/>
        <w:overflow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共同条件</w:t>
      </w:r>
    </w:p>
    <w:p w14:paraId="2F7B6EB6">
      <w:pPr>
        <w:keepNext w:val="0"/>
        <w:keepLines w:val="0"/>
        <w:pageBreakBefore w:val="0"/>
        <w:widowControl w:val="0"/>
        <w:kinsoku/>
        <w:wordWrap/>
        <w:overflowPunct/>
        <w:autoSpaceDE/>
        <w:autoSpaceDN/>
        <w:bidi w:val="0"/>
        <w:adjustRightInd/>
        <w:snapToGrid/>
        <w:spacing w:beforeAutospacing="0" w:afterAutospacing="0" w:line="600" w:lineRule="exact"/>
        <w:ind w:left="0" w:right="0" w:rightChars="0" w:firstLine="560" w:firstLineChars="200"/>
        <w:jc w:val="both"/>
        <w:textAlignment w:val="auto"/>
        <w:rPr>
          <w:rFonts w:hint="eastAsia" w:ascii="仿宋" w:hAnsi="仿宋" w:eastAsia="仿宋" w:cs="仿宋"/>
          <w:b w:val="0"/>
          <w:bCs w:val="0"/>
          <w:color w:val="auto"/>
          <w:sz w:val="28"/>
          <w:szCs w:val="28"/>
        </w:rPr>
      </w:pPr>
      <w:bookmarkStart w:id="25" w:name="OLE_LINK26"/>
      <w:r>
        <w:rPr>
          <w:rFonts w:hint="eastAsia" w:ascii="仿宋" w:hAnsi="仿宋" w:eastAsia="仿宋" w:cs="仿宋"/>
          <w:b w:val="0"/>
          <w:bCs w:val="0"/>
          <w:color w:val="auto"/>
          <w:sz w:val="28"/>
          <w:szCs w:val="28"/>
        </w:rPr>
        <w:t>申请</w:t>
      </w:r>
      <w:r>
        <w:rPr>
          <w:rFonts w:hint="eastAsia" w:ascii="仿宋" w:hAnsi="仿宋" w:eastAsia="仿宋" w:cs="仿宋"/>
          <w:b w:val="0"/>
          <w:bCs w:val="0"/>
          <w:color w:val="auto"/>
          <w:sz w:val="28"/>
          <w:szCs w:val="28"/>
          <w:lang w:eastAsia="zh-CN"/>
        </w:rPr>
        <w:t>人</w:t>
      </w:r>
      <w:r>
        <w:rPr>
          <w:rFonts w:hint="eastAsia" w:ascii="仿宋" w:hAnsi="仿宋" w:eastAsia="仿宋" w:cs="仿宋"/>
          <w:b w:val="0"/>
          <w:bCs w:val="0"/>
          <w:color w:val="auto"/>
          <w:sz w:val="28"/>
          <w:szCs w:val="28"/>
        </w:rPr>
        <w:t>应具有完全民事行为能力</w:t>
      </w:r>
      <w:r>
        <w:rPr>
          <w:rFonts w:hint="eastAsia" w:ascii="仿宋" w:hAnsi="仿宋" w:eastAsia="仿宋" w:cs="仿宋"/>
          <w:b w:val="0"/>
          <w:bCs w:val="0"/>
          <w:color w:val="auto"/>
          <w:sz w:val="28"/>
          <w:szCs w:val="28"/>
          <w:lang w:eastAsia="zh-CN"/>
        </w:rPr>
        <w:t>，单独申请时应年满</w:t>
      </w:r>
      <w:r>
        <w:rPr>
          <w:rFonts w:hint="eastAsia" w:ascii="仿宋" w:hAnsi="仿宋" w:eastAsia="仿宋" w:cs="仿宋"/>
          <w:b w:val="0"/>
          <w:bCs w:val="0"/>
          <w:color w:val="auto"/>
          <w:sz w:val="28"/>
          <w:szCs w:val="28"/>
          <w:lang w:val="en-US" w:eastAsia="zh-CN"/>
        </w:rPr>
        <w:t>25周岁</w:t>
      </w:r>
      <w:r>
        <w:rPr>
          <w:rFonts w:hint="eastAsia" w:ascii="仿宋" w:hAnsi="仿宋" w:eastAsia="仿宋" w:cs="仿宋"/>
          <w:b w:val="0"/>
          <w:bCs w:val="0"/>
          <w:color w:val="auto"/>
          <w:kern w:val="0"/>
          <w:sz w:val="28"/>
          <w:szCs w:val="28"/>
        </w:rPr>
        <w:t>；</w:t>
      </w:r>
      <w:r>
        <w:rPr>
          <w:rFonts w:hint="eastAsia" w:ascii="仿宋" w:hAnsi="仿宋" w:eastAsia="仿宋" w:cs="仿宋"/>
          <w:b w:val="0"/>
          <w:bCs w:val="0"/>
          <w:color w:val="auto"/>
          <w:sz w:val="28"/>
          <w:szCs w:val="28"/>
        </w:rPr>
        <w:t>以家庭为单位申请的，</w:t>
      </w:r>
      <w:r>
        <w:rPr>
          <w:rFonts w:hint="eastAsia" w:ascii="仿宋" w:hAnsi="仿宋" w:eastAsia="仿宋" w:cs="仿宋"/>
          <w:b w:val="0"/>
          <w:bCs w:val="0"/>
          <w:color w:val="auto"/>
          <w:kern w:val="0"/>
          <w:sz w:val="28"/>
          <w:szCs w:val="28"/>
        </w:rPr>
        <w:t>申请人与共同申请人之间有法定的赡养、抚养或者</w:t>
      </w:r>
      <w:r>
        <w:rPr>
          <w:rFonts w:hint="eastAsia" w:ascii="仿宋" w:hAnsi="仿宋" w:eastAsia="仿宋" w:cs="仿宋"/>
          <w:b w:val="0"/>
          <w:bCs w:val="0"/>
          <w:color w:val="auto"/>
          <w:kern w:val="0"/>
          <w:sz w:val="28"/>
          <w:szCs w:val="28"/>
          <w:lang w:eastAsia="zh-CN"/>
        </w:rPr>
        <w:t>抚</w:t>
      </w:r>
      <w:r>
        <w:rPr>
          <w:rFonts w:hint="eastAsia" w:ascii="仿宋" w:hAnsi="仿宋" w:eastAsia="仿宋" w:cs="仿宋"/>
          <w:b w:val="0"/>
          <w:bCs w:val="0"/>
          <w:color w:val="auto"/>
          <w:kern w:val="0"/>
          <w:sz w:val="28"/>
          <w:szCs w:val="28"/>
        </w:rPr>
        <w:t>养关系</w:t>
      </w:r>
      <w:bookmarkEnd w:id="25"/>
      <w:r>
        <w:rPr>
          <w:rFonts w:hint="eastAsia" w:ascii="仿宋" w:hAnsi="仿宋" w:eastAsia="仿宋" w:cs="仿宋"/>
          <w:b w:val="0"/>
          <w:bCs w:val="0"/>
          <w:color w:val="auto"/>
          <w:kern w:val="0"/>
          <w:sz w:val="28"/>
          <w:szCs w:val="28"/>
          <w:lang w:eastAsia="zh-CN"/>
        </w:rPr>
        <w:t>；</w:t>
      </w:r>
      <w:r>
        <w:rPr>
          <w:rFonts w:hint="eastAsia" w:ascii="仿宋" w:hAnsi="仿宋" w:eastAsia="仿宋" w:cs="仿宋"/>
          <w:color w:val="auto"/>
          <w:sz w:val="28"/>
          <w:szCs w:val="28"/>
          <w:highlight w:val="none"/>
          <w:lang w:val="en-US" w:eastAsia="zh-CN"/>
        </w:rPr>
        <w:t>65岁以上申请公租房的，需有陪护人共同申请，且申请人与陪护人之间有法定的赡养、抚养或者扶养关系（孤寡除外）。</w:t>
      </w:r>
    </w:p>
    <w:p w14:paraId="48FBC2B4">
      <w:pPr>
        <w:keepNext w:val="0"/>
        <w:keepLines w:val="0"/>
        <w:pageBreakBefore w:val="0"/>
        <w:widowControl w:val="0"/>
        <w:numPr>
          <w:ilvl w:val="-1"/>
          <w:numId w:val="0"/>
        </w:numPr>
        <w:kinsoku/>
        <w:wordWrap w:val="0"/>
        <w:overflowPunct/>
        <w:topLinePunct w:val="0"/>
        <w:autoSpaceDE/>
        <w:autoSpaceDN/>
        <w:bidi w:val="0"/>
        <w:adjustRightInd/>
        <w:snapToGrid/>
        <w:spacing w:line="560" w:lineRule="exact"/>
        <w:ind w:firstLine="562" w:firstLineChars="200"/>
        <w:textAlignment w:val="auto"/>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二、需提供材料</w:t>
      </w:r>
    </w:p>
    <w:p w14:paraId="7A0071F8">
      <w:pPr>
        <w:pStyle w:val="2"/>
      </w:pPr>
      <w:r>
        <w:rPr>
          <w:rFonts w:hint="eastAsia" w:ascii="仿宋_GB2312" w:hAnsi="仿宋_GB2312" w:eastAsia="仿宋_GB2312" w:cs="仿宋_GB2312"/>
          <w:color w:val="FF0000"/>
          <w:sz w:val="28"/>
          <w:szCs w:val="28"/>
          <w:lang w:val="en-US" w:eastAsia="zh-CN"/>
        </w:rPr>
        <w:t xml:space="preserve"> </w:t>
      </w:r>
    </w:p>
    <w:tbl>
      <w:tblPr>
        <w:tblStyle w:val="8"/>
        <w:tblW w:w="9675" w:type="dxa"/>
        <w:tblInd w:w="70" w:type="dxa"/>
        <w:tblLayout w:type="fixed"/>
        <w:tblCellMar>
          <w:top w:w="0" w:type="dxa"/>
          <w:left w:w="108" w:type="dxa"/>
          <w:bottom w:w="0" w:type="dxa"/>
          <w:right w:w="108" w:type="dxa"/>
        </w:tblCellMar>
      </w:tblPr>
      <w:tblGrid>
        <w:gridCol w:w="703"/>
        <w:gridCol w:w="2614"/>
        <w:gridCol w:w="975"/>
        <w:gridCol w:w="1875"/>
        <w:gridCol w:w="3508"/>
      </w:tblGrid>
      <w:tr w14:paraId="0CAD5950">
        <w:tblPrEx>
          <w:tblCellMar>
            <w:top w:w="0" w:type="dxa"/>
            <w:left w:w="108" w:type="dxa"/>
            <w:bottom w:w="0" w:type="dxa"/>
            <w:right w:w="108" w:type="dxa"/>
          </w:tblCellMar>
        </w:tblPrEx>
        <w:trPr>
          <w:trHeight w:val="363" w:hRule="atLeast"/>
        </w:trPr>
        <w:tc>
          <w:tcPr>
            <w:tcW w:w="703" w:type="dxa"/>
            <w:tcBorders>
              <w:top w:val="single" w:color="auto" w:sz="4" w:space="0"/>
              <w:left w:val="single" w:color="auto" w:sz="4" w:space="0"/>
              <w:bottom w:val="single" w:color="auto" w:sz="4" w:space="0"/>
              <w:right w:val="single" w:color="auto" w:sz="4" w:space="0"/>
            </w:tcBorders>
            <w:noWrap w:val="0"/>
            <w:vAlign w:val="center"/>
          </w:tcPr>
          <w:p w14:paraId="527C64E7">
            <w:pPr>
              <w:widowControl/>
              <w:spacing w:line="340" w:lineRule="exact"/>
              <w:ind w:firstLine="0" w:firstLineChars="0"/>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序号</w:t>
            </w:r>
          </w:p>
        </w:tc>
        <w:tc>
          <w:tcPr>
            <w:tcW w:w="2614" w:type="dxa"/>
            <w:tcBorders>
              <w:top w:val="single" w:color="auto" w:sz="4" w:space="0"/>
              <w:left w:val="single" w:color="auto" w:sz="4" w:space="0"/>
              <w:bottom w:val="single" w:color="auto" w:sz="4" w:space="0"/>
              <w:right w:val="single" w:color="auto" w:sz="4" w:space="0"/>
            </w:tcBorders>
            <w:noWrap w:val="0"/>
            <w:vAlign w:val="center"/>
          </w:tcPr>
          <w:p w14:paraId="2656D4A5">
            <w:pPr>
              <w:widowControl/>
              <w:spacing w:line="340" w:lineRule="exact"/>
              <w:ind w:firstLine="0" w:firstLineChars="0"/>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材料名称</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0F8990BC">
            <w:pPr>
              <w:widowControl/>
              <w:spacing w:line="340" w:lineRule="exact"/>
              <w:ind w:firstLine="0" w:firstLineChars="0"/>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类型</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5BD17966">
            <w:pPr>
              <w:widowControl/>
              <w:spacing w:line="340" w:lineRule="exact"/>
              <w:ind w:firstLine="0" w:firstLineChars="0"/>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受理标准</w:t>
            </w:r>
          </w:p>
        </w:tc>
        <w:tc>
          <w:tcPr>
            <w:tcW w:w="3508" w:type="dxa"/>
            <w:tcBorders>
              <w:top w:val="single" w:color="auto" w:sz="4" w:space="0"/>
              <w:left w:val="single" w:color="auto" w:sz="4" w:space="0"/>
              <w:bottom w:val="single" w:color="auto" w:sz="4" w:space="0"/>
              <w:right w:val="single" w:color="auto" w:sz="4" w:space="0"/>
            </w:tcBorders>
            <w:noWrap w:val="0"/>
            <w:vAlign w:val="center"/>
          </w:tcPr>
          <w:p w14:paraId="5EE5ADEF">
            <w:pPr>
              <w:widowControl/>
              <w:spacing w:line="340" w:lineRule="exact"/>
              <w:ind w:firstLine="0" w:firstLineChars="0"/>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备注</w:t>
            </w:r>
          </w:p>
        </w:tc>
      </w:tr>
      <w:tr w14:paraId="051DF114">
        <w:tblPrEx>
          <w:tblCellMar>
            <w:top w:w="0" w:type="dxa"/>
            <w:left w:w="108" w:type="dxa"/>
            <w:bottom w:w="0" w:type="dxa"/>
            <w:right w:w="108" w:type="dxa"/>
          </w:tblCellMar>
        </w:tblPrEx>
        <w:trPr>
          <w:trHeight w:val="907" w:hRule="atLeast"/>
        </w:trPr>
        <w:tc>
          <w:tcPr>
            <w:tcW w:w="703" w:type="dxa"/>
            <w:tcBorders>
              <w:top w:val="single" w:color="auto" w:sz="4" w:space="0"/>
              <w:left w:val="single" w:color="auto" w:sz="4" w:space="0"/>
              <w:bottom w:val="single" w:color="auto" w:sz="4" w:space="0"/>
              <w:right w:val="single" w:color="auto" w:sz="4" w:space="0"/>
            </w:tcBorders>
            <w:noWrap w:val="0"/>
            <w:vAlign w:val="center"/>
          </w:tcPr>
          <w:p w14:paraId="5E10F76D">
            <w:pPr>
              <w:widowControl/>
              <w:spacing w:line="340" w:lineRule="exact"/>
              <w:ind w:firstLine="0" w:firstLineChars="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2614" w:type="dxa"/>
            <w:tcBorders>
              <w:top w:val="single" w:color="auto" w:sz="4" w:space="0"/>
              <w:left w:val="single" w:color="auto" w:sz="4" w:space="0"/>
              <w:bottom w:val="single" w:color="auto" w:sz="4" w:space="0"/>
              <w:right w:val="single" w:color="auto" w:sz="4" w:space="0"/>
            </w:tcBorders>
            <w:noWrap w:val="0"/>
            <w:vAlign w:val="center"/>
          </w:tcPr>
          <w:p w14:paraId="6B8248EF">
            <w:pPr>
              <w:widowControl/>
              <w:spacing w:line="340" w:lineRule="exact"/>
              <w:ind w:firstLine="0" w:firstLineChars="0"/>
              <w:jc w:val="center"/>
              <w:rPr>
                <w:rFonts w:hint="default" w:ascii="Times New Roman" w:hAnsi="Times New Roman" w:eastAsia="宋体" w:cs="Times New Roman"/>
                <w:color w:val="auto"/>
                <w:kern w:val="0"/>
                <w:sz w:val="24"/>
                <w:szCs w:val="24"/>
              </w:rPr>
            </w:pPr>
            <w:r>
              <w:rPr>
                <w:rFonts w:hint="eastAsia" w:ascii="Times New Roman" w:hAnsi="Times New Roman" w:cs="Times New Roman"/>
                <w:color w:val="auto"/>
                <w:kern w:val="0"/>
                <w:sz w:val="24"/>
                <w:szCs w:val="24"/>
                <w:lang w:eastAsia="zh-CN"/>
              </w:rPr>
              <w:t>公租房申请</w:t>
            </w:r>
            <w:r>
              <w:rPr>
                <w:rFonts w:hint="default" w:ascii="Times New Roman" w:hAnsi="Times New Roman" w:eastAsia="宋体" w:cs="Times New Roman"/>
                <w:color w:val="auto"/>
                <w:kern w:val="0"/>
                <w:sz w:val="24"/>
                <w:szCs w:val="24"/>
              </w:rPr>
              <w:t>“一件事”联办申请表</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595398AB">
            <w:pPr>
              <w:widowControl/>
              <w:spacing w:line="340" w:lineRule="exact"/>
              <w:jc w:val="both"/>
              <w:rPr>
                <w:rFonts w:hint="eastAsia"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rPr>
              <w:t>免提交</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5E8DF74A">
            <w:pPr>
              <w:widowControl/>
              <w:spacing w:line="340" w:lineRule="exact"/>
              <w:ind w:firstLine="0" w:firstLineChars="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申请表有关个人基本信息准确、内容完整。</w:t>
            </w:r>
          </w:p>
        </w:tc>
        <w:tc>
          <w:tcPr>
            <w:tcW w:w="3508" w:type="dxa"/>
            <w:tcBorders>
              <w:top w:val="single" w:color="auto" w:sz="4" w:space="0"/>
              <w:left w:val="single" w:color="auto" w:sz="4" w:space="0"/>
              <w:bottom w:val="single" w:color="auto" w:sz="4" w:space="0"/>
              <w:right w:val="single" w:color="auto" w:sz="4" w:space="0"/>
            </w:tcBorders>
            <w:noWrap w:val="0"/>
            <w:vAlign w:val="center"/>
          </w:tcPr>
          <w:p w14:paraId="67CCA1DD">
            <w:pPr>
              <w:widowControl/>
              <w:spacing w:line="340" w:lineRule="exact"/>
              <w:rPr>
                <w:rFonts w:hint="eastAsia" w:ascii="Times New Roman" w:hAnsi="Times New Roman" w:eastAsia="宋体" w:cs="Times New Roman"/>
                <w:color w:val="auto"/>
                <w:kern w:val="0"/>
                <w:sz w:val="24"/>
                <w:szCs w:val="24"/>
                <w:lang w:eastAsia="zh-CN"/>
              </w:rPr>
            </w:pPr>
          </w:p>
        </w:tc>
      </w:tr>
      <w:tr w14:paraId="71D94316">
        <w:tblPrEx>
          <w:tblCellMar>
            <w:top w:w="0" w:type="dxa"/>
            <w:left w:w="108" w:type="dxa"/>
            <w:bottom w:w="0" w:type="dxa"/>
            <w:right w:w="108" w:type="dxa"/>
          </w:tblCellMar>
        </w:tblPrEx>
        <w:trPr>
          <w:trHeight w:val="911" w:hRule="atLeast"/>
        </w:trPr>
        <w:tc>
          <w:tcPr>
            <w:tcW w:w="703" w:type="dxa"/>
            <w:tcBorders>
              <w:top w:val="single" w:color="auto" w:sz="4" w:space="0"/>
              <w:left w:val="single" w:color="auto" w:sz="4" w:space="0"/>
              <w:bottom w:val="single" w:color="auto" w:sz="4" w:space="0"/>
              <w:right w:val="single" w:color="auto" w:sz="4" w:space="0"/>
            </w:tcBorders>
            <w:noWrap w:val="0"/>
            <w:vAlign w:val="center"/>
          </w:tcPr>
          <w:p w14:paraId="50A1AB9F">
            <w:pPr>
              <w:widowControl/>
              <w:spacing w:line="340" w:lineRule="exact"/>
              <w:ind w:firstLine="0" w:firstLineChars="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w:t>
            </w:r>
          </w:p>
        </w:tc>
        <w:tc>
          <w:tcPr>
            <w:tcW w:w="2614" w:type="dxa"/>
            <w:tcBorders>
              <w:top w:val="single" w:color="auto" w:sz="4" w:space="0"/>
              <w:left w:val="single" w:color="auto" w:sz="4" w:space="0"/>
              <w:bottom w:val="single" w:color="auto" w:sz="4" w:space="0"/>
              <w:right w:val="single" w:color="auto" w:sz="4" w:space="0"/>
            </w:tcBorders>
            <w:noWrap w:val="0"/>
            <w:vAlign w:val="center"/>
          </w:tcPr>
          <w:p w14:paraId="3ED4B1E7">
            <w:pPr>
              <w:widowControl/>
              <w:spacing w:line="340" w:lineRule="exact"/>
              <w:ind w:firstLine="0" w:firstLineChars="0"/>
              <w:jc w:val="center"/>
              <w:rPr>
                <w:rFonts w:hint="eastAsia"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rPr>
              <w:t>人中华人民共和国居民身份证或户口簿</w:t>
            </w:r>
            <w:r>
              <w:rPr>
                <w:rFonts w:hint="eastAsia" w:ascii="Times New Roman" w:hAnsi="Times New Roman" w:cs="Times New Roman"/>
                <w:color w:val="auto"/>
                <w:kern w:val="0"/>
                <w:sz w:val="24"/>
                <w:szCs w:val="24"/>
                <w:lang w:eastAsia="zh-CN"/>
              </w:rPr>
              <w:t>或居住证</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03B126D0">
            <w:pPr>
              <w:widowControl/>
              <w:spacing w:line="340" w:lineRule="exact"/>
              <w:ind w:firstLine="0" w:firstLineChars="0"/>
              <w:jc w:val="both"/>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免提交</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2297E49D">
            <w:pPr>
              <w:widowControl/>
              <w:spacing w:line="340" w:lineRule="exact"/>
              <w:ind w:firstLine="0" w:firstLineChars="0"/>
              <w:rPr>
                <w:rFonts w:hint="eastAsia"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rPr>
              <w:t>身份证</w:t>
            </w:r>
            <w:r>
              <w:rPr>
                <w:rFonts w:hint="eastAsia" w:ascii="Times New Roman" w:hAnsi="Times New Roman" w:cs="Times New Roman"/>
                <w:color w:val="auto"/>
                <w:kern w:val="0"/>
                <w:sz w:val="24"/>
                <w:szCs w:val="24"/>
                <w:lang w:eastAsia="zh-CN"/>
              </w:rPr>
              <w:t>或居住证</w:t>
            </w:r>
            <w:r>
              <w:rPr>
                <w:rFonts w:hint="default" w:ascii="Times New Roman" w:hAnsi="Times New Roman" w:eastAsia="宋体" w:cs="Times New Roman"/>
                <w:color w:val="auto"/>
                <w:kern w:val="0"/>
                <w:sz w:val="24"/>
                <w:szCs w:val="24"/>
              </w:rPr>
              <w:t>在有效期内。</w:t>
            </w:r>
          </w:p>
        </w:tc>
        <w:tc>
          <w:tcPr>
            <w:tcW w:w="3508" w:type="dxa"/>
            <w:tcBorders>
              <w:top w:val="single" w:color="auto" w:sz="4" w:space="0"/>
              <w:left w:val="single" w:color="auto" w:sz="4" w:space="0"/>
              <w:bottom w:val="single" w:color="auto" w:sz="4" w:space="0"/>
              <w:right w:val="single" w:color="auto" w:sz="4" w:space="0"/>
            </w:tcBorders>
            <w:noWrap w:val="0"/>
            <w:vAlign w:val="center"/>
          </w:tcPr>
          <w:p w14:paraId="69C1727A">
            <w:pPr>
              <w:widowControl/>
              <w:spacing w:line="340" w:lineRule="exact"/>
              <w:ind w:firstLine="480" w:firstLineChars="200"/>
              <w:rPr>
                <w:rFonts w:hint="eastAsia" w:ascii="Times New Roman" w:hAnsi="Times New Roman" w:eastAsia="宋体" w:cs="Times New Roman"/>
                <w:color w:val="auto"/>
                <w:kern w:val="0"/>
                <w:sz w:val="24"/>
                <w:szCs w:val="24"/>
                <w:lang w:eastAsia="zh-CN"/>
              </w:rPr>
            </w:pPr>
          </w:p>
        </w:tc>
      </w:tr>
      <w:tr w14:paraId="5161FA02">
        <w:tblPrEx>
          <w:tblCellMar>
            <w:top w:w="0" w:type="dxa"/>
            <w:left w:w="108" w:type="dxa"/>
            <w:bottom w:w="0" w:type="dxa"/>
            <w:right w:w="108" w:type="dxa"/>
          </w:tblCellMar>
        </w:tblPrEx>
        <w:trPr>
          <w:trHeight w:val="593" w:hRule="atLeast"/>
        </w:trPr>
        <w:tc>
          <w:tcPr>
            <w:tcW w:w="703" w:type="dxa"/>
            <w:tcBorders>
              <w:top w:val="single" w:color="auto" w:sz="4" w:space="0"/>
              <w:left w:val="single" w:color="auto" w:sz="4" w:space="0"/>
              <w:bottom w:val="single" w:color="auto" w:sz="4" w:space="0"/>
              <w:right w:val="single" w:color="auto" w:sz="4" w:space="0"/>
            </w:tcBorders>
            <w:noWrap w:val="0"/>
            <w:vAlign w:val="center"/>
          </w:tcPr>
          <w:p w14:paraId="1F0224B3">
            <w:pPr>
              <w:widowControl/>
              <w:spacing w:line="340" w:lineRule="exact"/>
              <w:ind w:firstLine="0" w:firstLineChars="0"/>
              <w:jc w:val="center"/>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lang w:val="en-US" w:eastAsia="zh-CN"/>
              </w:rPr>
              <w:t>3</w:t>
            </w:r>
          </w:p>
        </w:tc>
        <w:tc>
          <w:tcPr>
            <w:tcW w:w="2614" w:type="dxa"/>
            <w:tcBorders>
              <w:top w:val="single" w:color="auto" w:sz="4" w:space="0"/>
              <w:left w:val="single" w:color="auto" w:sz="4" w:space="0"/>
              <w:bottom w:val="single" w:color="auto" w:sz="4" w:space="0"/>
              <w:right w:val="single" w:color="auto" w:sz="4" w:space="0"/>
            </w:tcBorders>
            <w:noWrap w:val="0"/>
            <w:vAlign w:val="center"/>
          </w:tcPr>
          <w:p w14:paraId="37B4B9EB">
            <w:pPr>
              <w:widowControl/>
              <w:spacing w:line="340" w:lineRule="exact"/>
              <w:ind w:firstLine="0" w:firstLineChars="0"/>
              <w:jc w:val="center"/>
              <w:rPr>
                <w:rFonts w:hint="eastAsia" w:ascii="Times New Roman" w:hAnsi="Times New Roman" w:eastAsia="宋体" w:cs="Times New Roman"/>
                <w:color w:val="auto"/>
                <w:kern w:val="0"/>
                <w:sz w:val="24"/>
                <w:szCs w:val="24"/>
                <w:lang w:eastAsia="zh-CN"/>
              </w:rPr>
            </w:pPr>
            <w:r>
              <w:rPr>
                <w:rFonts w:hint="eastAsia" w:ascii="Times New Roman" w:hAnsi="Times New Roman" w:cs="Times New Roman"/>
                <w:color w:val="auto"/>
                <w:kern w:val="0"/>
                <w:sz w:val="24"/>
                <w:szCs w:val="24"/>
                <w:lang w:eastAsia="zh-CN"/>
              </w:rPr>
              <w:t>结婚证、或离婚证</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108790A1">
            <w:pPr>
              <w:widowControl/>
              <w:spacing w:line="340" w:lineRule="exact"/>
              <w:ind w:firstLine="0" w:firstLineChars="0"/>
              <w:jc w:val="both"/>
              <w:rPr>
                <w:rFonts w:hint="eastAsia"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rPr>
              <w:t>免提交</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3EB5048D">
            <w:pPr>
              <w:widowControl/>
              <w:spacing w:line="340" w:lineRule="exact"/>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　</w:t>
            </w:r>
          </w:p>
        </w:tc>
        <w:tc>
          <w:tcPr>
            <w:tcW w:w="3508" w:type="dxa"/>
            <w:tcBorders>
              <w:top w:val="single" w:color="auto" w:sz="4" w:space="0"/>
              <w:left w:val="single" w:color="auto" w:sz="4" w:space="0"/>
              <w:bottom w:val="single" w:color="auto" w:sz="4" w:space="0"/>
              <w:right w:val="single" w:color="auto" w:sz="4" w:space="0"/>
            </w:tcBorders>
            <w:noWrap w:val="0"/>
            <w:vAlign w:val="center"/>
          </w:tcPr>
          <w:p w14:paraId="79F31104">
            <w:pPr>
              <w:widowControl/>
              <w:spacing w:line="340" w:lineRule="exact"/>
              <w:ind w:firstLine="0" w:firstLineChars="0"/>
              <w:rPr>
                <w:rFonts w:hint="default" w:ascii="Times New Roman" w:hAnsi="Times New Roman" w:eastAsia="宋体" w:cs="Times New Roman"/>
                <w:color w:val="auto"/>
                <w:kern w:val="0"/>
                <w:sz w:val="24"/>
                <w:szCs w:val="24"/>
              </w:rPr>
            </w:pPr>
            <w:r>
              <w:rPr>
                <w:rFonts w:hint="eastAsia" w:ascii="Times New Roman" w:hAnsi="Times New Roman" w:cs="Times New Roman"/>
                <w:color w:val="auto"/>
                <w:kern w:val="0"/>
                <w:sz w:val="24"/>
                <w:szCs w:val="24"/>
                <w:lang w:eastAsia="zh-CN"/>
              </w:rPr>
              <w:t>离婚有房产需分割</w:t>
            </w:r>
            <w:r>
              <w:rPr>
                <w:rFonts w:hint="default" w:ascii="Times New Roman" w:hAnsi="Times New Roman" w:eastAsia="宋体" w:cs="Times New Roman"/>
                <w:color w:val="auto"/>
                <w:kern w:val="0"/>
                <w:sz w:val="24"/>
                <w:szCs w:val="24"/>
              </w:rPr>
              <w:t>。</w:t>
            </w:r>
          </w:p>
        </w:tc>
      </w:tr>
      <w:tr w14:paraId="49CDA1B6">
        <w:tblPrEx>
          <w:tblCellMar>
            <w:top w:w="0" w:type="dxa"/>
            <w:left w:w="108" w:type="dxa"/>
            <w:bottom w:w="0" w:type="dxa"/>
            <w:right w:w="108" w:type="dxa"/>
          </w:tblCellMar>
        </w:tblPrEx>
        <w:trPr>
          <w:trHeight w:val="633" w:hRule="atLeast"/>
        </w:trPr>
        <w:tc>
          <w:tcPr>
            <w:tcW w:w="703" w:type="dxa"/>
            <w:vMerge w:val="restart"/>
            <w:tcBorders>
              <w:top w:val="single" w:color="auto" w:sz="4" w:space="0"/>
              <w:left w:val="single" w:color="auto" w:sz="4" w:space="0"/>
              <w:bottom w:val="single" w:color="auto" w:sz="4" w:space="0"/>
              <w:right w:val="single" w:color="auto" w:sz="4" w:space="0"/>
            </w:tcBorders>
            <w:noWrap w:val="0"/>
            <w:vAlign w:val="center"/>
          </w:tcPr>
          <w:p w14:paraId="2D12448F">
            <w:pPr>
              <w:widowControl/>
              <w:spacing w:line="340" w:lineRule="exact"/>
              <w:ind w:firstLine="0" w:firstLineChars="0"/>
              <w:jc w:val="center"/>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lang w:val="en-US" w:eastAsia="zh-CN"/>
              </w:rPr>
              <w:t>4</w:t>
            </w:r>
          </w:p>
        </w:tc>
        <w:tc>
          <w:tcPr>
            <w:tcW w:w="2614" w:type="dxa"/>
            <w:vMerge w:val="restart"/>
            <w:tcBorders>
              <w:top w:val="single" w:color="auto" w:sz="4" w:space="0"/>
              <w:left w:val="single" w:color="auto" w:sz="4" w:space="0"/>
              <w:bottom w:val="single" w:color="auto" w:sz="4" w:space="0"/>
              <w:right w:val="single" w:color="auto" w:sz="4" w:space="0"/>
            </w:tcBorders>
            <w:noWrap w:val="0"/>
            <w:vAlign w:val="center"/>
          </w:tcPr>
          <w:p w14:paraId="233D492D">
            <w:pPr>
              <w:widowControl/>
              <w:spacing w:line="240" w:lineRule="auto"/>
              <w:ind w:firstLine="0" w:firstLineChars="0"/>
              <w:jc w:val="center"/>
              <w:rPr>
                <w:rFonts w:hint="default" w:ascii="Times New Roman" w:hAnsi="Times New Roman" w:eastAsia="宋体" w:cs="Times New Roman"/>
                <w:color w:val="auto"/>
                <w:kern w:val="0"/>
                <w:sz w:val="24"/>
                <w:szCs w:val="24"/>
              </w:rPr>
            </w:pPr>
            <w:bookmarkStart w:id="26" w:name="_GoBack"/>
            <w:bookmarkEnd w:id="26"/>
            <w:r>
              <w:rPr>
                <w:rFonts w:hint="default" w:ascii="Times New Roman" w:hAnsi="Times New Roman" w:eastAsia="宋体" w:cs="Times New Roman"/>
                <w:color w:val="auto"/>
                <w:kern w:val="0"/>
                <w:sz w:val="24"/>
                <w:szCs w:val="24"/>
              </w:rPr>
              <w:t>残疾证</w:t>
            </w: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44AF50B">
            <w:pPr>
              <w:widowControl/>
              <w:spacing w:line="340" w:lineRule="exact"/>
              <w:ind w:firstLine="0" w:firstLineChars="0"/>
              <w:jc w:val="both"/>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免提交</w:t>
            </w:r>
          </w:p>
        </w:tc>
        <w:tc>
          <w:tcPr>
            <w:tcW w:w="1875" w:type="dxa"/>
            <w:vMerge w:val="restart"/>
            <w:tcBorders>
              <w:top w:val="single" w:color="auto" w:sz="4" w:space="0"/>
              <w:left w:val="single" w:color="auto" w:sz="4" w:space="0"/>
              <w:bottom w:val="single" w:color="auto" w:sz="4" w:space="0"/>
              <w:right w:val="single" w:color="auto" w:sz="4" w:space="0"/>
            </w:tcBorders>
            <w:noWrap w:val="0"/>
            <w:vAlign w:val="center"/>
          </w:tcPr>
          <w:p w14:paraId="0629D6E3">
            <w:pPr>
              <w:widowControl/>
              <w:spacing w:line="340" w:lineRule="exact"/>
              <w:ind w:firstLine="0" w:firstLineChars="0"/>
              <w:jc w:val="center"/>
              <w:rPr>
                <w:rFonts w:hint="default" w:ascii="Times New Roman" w:hAnsi="Times New Roman" w:eastAsia="宋体" w:cs="Times New Roman"/>
                <w:color w:val="auto"/>
                <w:kern w:val="0"/>
                <w:sz w:val="24"/>
                <w:szCs w:val="24"/>
              </w:rPr>
            </w:pPr>
            <w:r>
              <w:rPr>
                <w:rFonts w:hint="eastAsia" w:ascii="Times New Roman" w:hAnsi="Times New Roman" w:cs="Times New Roman"/>
                <w:color w:val="auto"/>
                <w:kern w:val="0"/>
                <w:sz w:val="24"/>
                <w:szCs w:val="24"/>
                <w:lang w:eastAsia="zh-CN"/>
              </w:rPr>
              <w:t>残疾</w:t>
            </w:r>
            <w:r>
              <w:rPr>
                <w:rFonts w:hint="default" w:ascii="Times New Roman" w:hAnsi="Times New Roman" w:eastAsia="宋体" w:cs="Times New Roman"/>
                <w:color w:val="auto"/>
                <w:kern w:val="0"/>
                <w:sz w:val="24"/>
                <w:szCs w:val="24"/>
              </w:rPr>
              <w:t>证在有效期内。</w:t>
            </w:r>
          </w:p>
        </w:tc>
        <w:tc>
          <w:tcPr>
            <w:tcW w:w="3508" w:type="dxa"/>
            <w:vMerge w:val="restart"/>
            <w:tcBorders>
              <w:top w:val="single" w:color="auto" w:sz="4" w:space="0"/>
              <w:left w:val="single" w:color="auto" w:sz="4" w:space="0"/>
              <w:bottom w:val="single" w:color="auto" w:sz="4" w:space="0"/>
              <w:right w:val="single" w:color="auto" w:sz="4" w:space="0"/>
            </w:tcBorders>
            <w:noWrap w:val="0"/>
            <w:vAlign w:val="center"/>
          </w:tcPr>
          <w:p w14:paraId="6C920FB2">
            <w:pPr>
              <w:widowControl/>
              <w:spacing w:line="340" w:lineRule="exact"/>
              <w:ind w:firstLine="0" w:firstLineChars="0"/>
              <w:jc w:val="both"/>
              <w:rPr>
                <w:rFonts w:hint="default" w:ascii="Times New Roman" w:hAnsi="Times New Roman" w:eastAsia="宋体" w:cs="Times New Roman"/>
                <w:color w:val="auto"/>
                <w:kern w:val="0"/>
                <w:sz w:val="24"/>
                <w:szCs w:val="24"/>
              </w:rPr>
            </w:pPr>
          </w:p>
        </w:tc>
      </w:tr>
      <w:tr w14:paraId="67131FFE">
        <w:tblPrEx>
          <w:tblCellMar>
            <w:top w:w="0" w:type="dxa"/>
            <w:left w:w="108" w:type="dxa"/>
            <w:bottom w:w="0" w:type="dxa"/>
            <w:right w:w="108" w:type="dxa"/>
          </w:tblCellMar>
        </w:tblPrEx>
        <w:trPr>
          <w:trHeight w:val="312" w:hRule="atLeast"/>
        </w:trPr>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26C6E9D4">
            <w:pPr>
              <w:widowControl/>
              <w:spacing w:line="340" w:lineRule="exact"/>
              <w:ind w:firstLine="480" w:firstLineChars="200"/>
              <w:jc w:val="center"/>
              <w:rPr>
                <w:rFonts w:hint="default" w:ascii="Times New Roman" w:hAnsi="Times New Roman" w:eastAsia="宋体" w:cs="Times New Roman"/>
                <w:color w:val="auto"/>
                <w:kern w:val="0"/>
                <w:sz w:val="24"/>
                <w:szCs w:val="24"/>
              </w:rPr>
            </w:pPr>
          </w:p>
        </w:tc>
        <w:tc>
          <w:tcPr>
            <w:tcW w:w="2614" w:type="dxa"/>
            <w:vMerge w:val="continue"/>
            <w:tcBorders>
              <w:top w:val="single" w:color="auto" w:sz="4" w:space="0"/>
              <w:left w:val="single" w:color="auto" w:sz="4" w:space="0"/>
              <w:bottom w:val="single" w:color="auto" w:sz="4" w:space="0"/>
              <w:right w:val="single" w:color="auto" w:sz="4" w:space="0"/>
            </w:tcBorders>
            <w:noWrap w:val="0"/>
            <w:vAlign w:val="center"/>
          </w:tcPr>
          <w:p w14:paraId="642F332F">
            <w:pPr>
              <w:widowControl/>
              <w:spacing w:line="340" w:lineRule="exact"/>
              <w:ind w:firstLine="480" w:firstLineChars="200"/>
              <w:jc w:val="center"/>
              <w:rPr>
                <w:rFonts w:hint="default" w:ascii="Times New Roman" w:hAnsi="Times New Roman" w:eastAsia="宋体" w:cs="Times New Roman"/>
                <w:color w:val="auto"/>
                <w:kern w:val="0"/>
                <w:sz w:val="24"/>
                <w:szCs w:val="24"/>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8B7AAD2">
            <w:pPr>
              <w:widowControl/>
              <w:spacing w:line="340" w:lineRule="exact"/>
              <w:ind w:firstLine="480" w:firstLineChars="200"/>
              <w:rPr>
                <w:rFonts w:hint="default" w:ascii="Times New Roman" w:hAnsi="Times New Roman" w:eastAsia="宋体" w:cs="Times New Roman"/>
                <w:color w:val="auto"/>
                <w:kern w:val="0"/>
                <w:sz w:val="24"/>
                <w:szCs w:val="24"/>
              </w:rPr>
            </w:pPr>
          </w:p>
        </w:tc>
        <w:tc>
          <w:tcPr>
            <w:tcW w:w="1875" w:type="dxa"/>
            <w:vMerge w:val="continue"/>
            <w:tcBorders>
              <w:top w:val="single" w:color="auto" w:sz="4" w:space="0"/>
              <w:left w:val="single" w:color="auto" w:sz="4" w:space="0"/>
              <w:bottom w:val="single" w:color="auto" w:sz="4" w:space="0"/>
              <w:right w:val="single" w:color="auto" w:sz="4" w:space="0"/>
            </w:tcBorders>
            <w:noWrap w:val="0"/>
            <w:vAlign w:val="center"/>
          </w:tcPr>
          <w:p w14:paraId="69DDA21D">
            <w:pPr>
              <w:widowControl/>
              <w:spacing w:line="340" w:lineRule="exact"/>
              <w:ind w:firstLine="480" w:firstLineChars="200"/>
              <w:rPr>
                <w:rFonts w:hint="default" w:ascii="Times New Roman" w:hAnsi="Times New Roman" w:eastAsia="宋体" w:cs="Times New Roman"/>
                <w:color w:val="auto"/>
                <w:kern w:val="0"/>
                <w:sz w:val="24"/>
                <w:szCs w:val="24"/>
              </w:rPr>
            </w:pPr>
          </w:p>
        </w:tc>
        <w:tc>
          <w:tcPr>
            <w:tcW w:w="3508" w:type="dxa"/>
            <w:vMerge w:val="continue"/>
            <w:tcBorders>
              <w:top w:val="single" w:color="auto" w:sz="4" w:space="0"/>
              <w:left w:val="single" w:color="auto" w:sz="4" w:space="0"/>
              <w:bottom w:val="single" w:color="auto" w:sz="4" w:space="0"/>
              <w:right w:val="single" w:color="auto" w:sz="4" w:space="0"/>
            </w:tcBorders>
            <w:noWrap w:val="0"/>
            <w:vAlign w:val="center"/>
          </w:tcPr>
          <w:p w14:paraId="3A28E706">
            <w:pPr>
              <w:widowControl/>
              <w:spacing w:line="340" w:lineRule="exact"/>
              <w:ind w:firstLine="480" w:firstLineChars="200"/>
              <w:rPr>
                <w:rFonts w:hint="default" w:ascii="Times New Roman" w:hAnsi="Times New Roman" w:eastAsia="宋体" w:cs="Times New Roman"/>
                <w:color w:val="auto"/>
                <w:kern w:val="0"/>
                <w:sz w:val="24"/>
                <w:szCs w:val="24"/>
              </w:rPr>
            </w:pPr>
          </w:p>
        </w:tc>
      </w:tr>
      <w:tr w14:paraId="349140BE">
        <w:tblPrEx>
          <w:tblCellMar>
            <w:top w:w="0" w:type="dxa"/>
            <w:left w:w="108" w:type="dxa"/>
            <w:bottom w:w="0" w:type="dxa"/>
            <w:right w:w="108" w:type="dxa"/>
          </w:tblCellMar>
        </w:tblPrEx>
        <w:trPr>
          <w:trHeight w:val="1136" w:hRule="atLeast"/>
        </w:trPr>
        <w:tc>
          <w:tcPr>
            <w:tcW w:w="703" w:type="dxa"/>
            <w:tcBorders>
              <w:top w:val="single" w:color="auto" w:sz="4" w:space="0"/>
              <w:left w:val="single" w:color="auto" w:sz="4" w:space="0"/>
              <w:bottom w:val="single" w:color="auto" w:sz="4" w:space="0"/>
              <w:right w:val="single" w:color="auto" w:sz="4" w:space="0"/>
            </w:tcBorders>
            <w:noWrap w:val="0"/>
            <w:vAlign w:val="center"/>
          </w:tcPr>
          <w:p w14:paraId="52970974">
            <w:pPr>
              <w:widowControl/>
              <w:spacing w:line="340" w:lineRule="exact"/>
              <w:ind w:firstLine="0" w:firstLineChars="0"/>
              <w:jc w:val="center"/>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lang w:val="en-US" w:eastAsia="zh-CN"/>
              </w:rPr>
              <w:t>5</w:t>
            </w:r>
          </w:p>
        </w:tc>
        <w:tc>
          <w:tcPr>
            <w:tcW w:w="2614" w:type="dxa"/>
            <w:tcBorders>
              <w:top w:val="single" w:color="auto" w:sz="4" w:space="0"/>
              <w:left w:val="single" w:color="auto" w:sz="4" w:space="0"/>
              <w:bottom w:val="single" w:color="auto" w:sz="4" w:space="0"/>
              <w:right w:val="single" w:color="auto" w:sz="4" w:space="0"/>
            </w:tcBorders>
            <w:noWrap w:val="0"/>
            <w:vAlign w:val="center"/>
          </w:tcPr>
          <w:p w14:paraId="64F92C4E">
            <w:pPr>
              <w:widowControl/>
              <w:spacing w:line="340" w:lineRule="exact"/>
              <w:ind w:firstLine="0" w:firstLineChars="0"/>
              <w:jc w:val="center"/>
              <w:rPr>
                <w:rFonts w:hint="eastAsia" w:ascii="Times New Roman" w:hAnsi="Times New Roman" w:eastAsia="宋体" w:cs="Times New Roman"/>
                <w:color w:val="auto"/>
                <w:kern w:val="0"/>
                <w:sz w:val="24"/>
                <w:szCs w:val="24"/>
                <w:lang w:eastAsia="zh-CN"/>
              </w:rPr>
            </w:pPr>
            <w:r>
              <w:rPr>
                <w:rFonts w:hint="eastAsia" w:ascii="Times New Roman" w:hAnsi="Times New Roman" w:cs="Times New Roman"/>
                <w:color w:val="auto"/>
                <w:kern w:val="0"/>
                <w:sz w:val="24"/>
                <w:szCs w:val="24"/>
                <w:lang w:eastAsia="zh-CN"/>
              </w:rPr>
              <w:t>社保信息</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7E31CD53">
            <w:pPr>
              <w:widowControl/>
              <w:spacing w:line="340" w:lineRule="exact"/>
              <w:ind w:firstLine="0" w:firstLineChars="0"/>
              <w:jc w:val="both"/>
              <w:rPr>
                <w:rFonts w:hint="eastAsia" w:ascii="Times New Roman" w:hAnsi="Times New Roman" w:eastAsia="宋体" w:cs="Times New Roman"/>
                <w:color w:val="auto"/>
                <w:kern w:val="0"/>
                <w:sz w:val="24"/>
                <w:szCs w:val="24"/>
                <w:lang w:eastAsia="zh-CN"/>
              </w:rPr>
            </w:pPr>
            <w:r>
              <w:rPr>
                <w:rFonts w:hint="eastAsia" w:ascii="Times New Roman" w:hAnsi="Times New Roman" w:cs="Times New Roman"/>
                <w:color w:val="auto"/>
                <w:kern w:val="0"/>
                <w:sz w:val="24"/>
                <w:szCs w:val="24"/>
                <w:lang w:eastAsia="zh-CN"/>
              </w:rPr>
              <w:t>免提交</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20AB9770">
            <w:pPr>
              <w:widowControl/>
              <w:spacing w:line="340" w:lineRule="exact"/>
              <w:ind w:firstLine="480" w:firstLineChars="200"/>
              <w:rPr>
                <w:rFonts w:hint="default" w:ascii="Times New Roman" w:hAnsi="Times New Roman" w:eastAsia="宋体" w:cs="Times New Roman"/>
                <w:color w:val="auto"/>
                <w:kern w:val="0"/>
                <w:sz w:val="24"/>
                <w:szCs w:val="24"/>
              </w:rPr>
            </w:pPr>
          </w:p>
        </w:tc>
        <w:tc>
          <w:tcPr>
            <w:tcW w:w="3508" w:type="dxa"/>
            <w:tcBorders>
              <w:top w:val="single" w:color="auto" w:sz="4" w:space="0"/>
              <w:left w:val="single" w:color="auto" w:sz="4" w:space="0"/>
              <w:bottom w:val="single" w:color="auto" w:sz="4" w:space="0"/>
              <w:right w:val="single" w:color="auto" w:sz="4" w:space="0"/>
            </w:tcBorders>
            <w:noWrap w:val="0"/>
            <w:vAlign w:val="center"/>
          </w:tcPr>
          <w:p w14:paraId="6D9A9C45">
            <w:pPr>
              <w:widowControl/>
              <w:spacing w:line="340" w:lineRule="exact"/>
              <w:ind w:firstLine="0" w:firstLineChars="0"/>
              <w:rPr>
                <w:rFonts w:hint="eastAsia" w:ascii="Times New Roman" w:hAnsi="Times New Roman" w:eastAsia="宋体" w:cs="Times New Roman"/>
                <w:color w:val="auto"/>
                <w:kern w:val="0"/>
                <w:sz w:val="24"/>
                <w:szCs w:val="24"/>
                <w:lang w:eastAsia="zh-CN"/>
              </w:rPr>
            </w:pPr>
            <w:r>
              <w:rPr>
                <w:rFonts w:hint="eastAsia" w:ascii="Times New Roman" w:hAnsi="Times New Roman" w:cs="Times New Roman"/>
                <w:color w:val="auto"/>
                <w:kern w:val="0"/>
                <w:sz w:val="24"/>
                <w:szCs w:val="24"/>
                <w:lang w:eastAsia="zh-CN"/>
              </w:rPr>
              <w:t>无社保信息、需提供无工作能力证明、否则按收入标准核算收入</w:t>
            </w:r>
          </w:p>
        </w:tc>
      </w:tr>
      <w:tr w14:paraId="296943F8">
        <w:tblPrEx>
          <w:tblCellMar>
            <w:top w:w="0" w:type="dxa"/>
            <w:left w:w="108" w:type="dxa"/>
            <w:bottom w:w="0" w:type="dxa"/>
            <w:right w:w="108" w:type="dxa"/>
          </w:tblCellMar>
        </w:tblPrEx>
        <w:trPr>
          <w:trHeight w:val="738" w:hRule="atLeast"/>
        </w:trPr>
        <w:tc>
          <w:tcPr>
            <w:tcW w:w="703" w:type="dxa"/>
            <w:tcBorders>
              <w:top w:val="single" w:color="auto" w:sz="4" w:space="0"/>
              <w:left w:val="single" w:color="auto" w:sz="4" w:space="0"/>
              <w:bottom w:val="single" w:color="auto" w:sz="4" w:space="0"/>
              <w:right w:val="single" w:color="auto" w:sz="4" w:space="0"/>
            </w:tcBorders>
            <w:noWrap w:val="0"/>
            <w:vAlign w:val="center"/>
          </w:tcPr>
          <w:p w14:paraId="1E68103D">
            <w:pPr>
              <w:widowControl/>
              <w:spacing w:line="340" w:lineRule="exact"/>
              <w:ind w:firstLine="0" w:firstLineChars="0"/>
              <w:jc w:val="center"/>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lang w:val="en-US" w:eastAsia="zh-CN"/>
              </w:rPr>
              <w:t>6</w:t>
            </w:r>
          </w:p>
        </w:tc>
        <w:tc>
          <w:tcPr>
            <w:tcW w:w="2614" w:type="dxa"/>
            <w:tcBorders>
              <w:top w:val="single" w:color="auto" w:sz="4" w:space="0"/>
              <w:left w:val="single" w:color="auto" w:sz="4" w:space="0"/>
              <w:bottom w:val="single" w:color="auto" w:sz="4" w:space="0"/>
              <w:right w:val="single" w:color="auto" w:sz="4" w:space="0"/>
            </w:tcBorders>
            <w:noWrap w:val="0"/>
            <w:vAlign w:val="center"/>
          </w:tcPr>
          <w:p w14:paraId="52F39CFE">
            <w:pPr>
              <w:widowControl/>
              <w:spacing w:line="340" w:lineRule="exact"/>
              <w:ind w:firstLine="240" w:firstLineChars="100"/>
              <w:jc w:val="center"/>
              <w:rPr>
                <w:rFonts w:hint="eastAsia"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rPr>
              <w:t>低保证明</w:t>
            </w:r>
            <w:r>
              <w:rPr>
                <w:rFonts w:hint="eastAsia" w:ascii="Times New Roman" w:hAnsi="Times New Roman" w:eastAsia="宋体" w:cs="Times New Roman"/>
                <w:color w:val="auto"/>
                <w:kern w:val="0"/>
                <w:sz w:val="24"/>
                <w:szCs w:val="24"/>
                <w:lang w:eastAsia="zh-CN"/>
              </w:rPr>
              <w:t>（特困、低保、低边、刚性）</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0713AF09">
            <w:pPr>
              <w:widowControl/>
              <w:spacing w:line="340" w:lineRule="exact"/>
              <w:ind w:firstLine="0" w:firstLineChars="0"/>
              <w:jc w:val="both"/>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免提交</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015D8739">
            <w:pPr>
              <w:widowControl/>
              <w:spacing w:line="340" w:lineRule="exact"/>
              <w:ind w:firstLine="480" w:firstLineChars="200"/>
              <w:rPr>
                <w:rFonts w:hint="default" w:ascii="Times New Roman" w:hAnsi="Times New Roman" w:eastAsia="宋体" w:cs="Times New Roman"/>
                <w:color w:val="auto"/>
                <w:kern w:val="0"/>
                <w:sz w:val="24"/>
                <w:szCs w:val="24"/>
              </w:rPr>
            </w:pPr>
          </w:p>
        </w:tc>
        <w:tc>
          <w:tcPr>
            <w:tcW w:w="3508" w:type="dxa"/>
            <w:tcBorders>
              <w:top w:val="single" w:color="auto" w:sz="4" w:space="0"/>
              <w:left w:val="single" w:color="auto" w:sz="4" w:space="0"/>
              <w:bottom w:val="single" w:color="auto" w:sz="4" w:space="0"/>
              <w:right w:val="single" w:color="auto" w:sz="4" w:space="0"/>
            </w:tcBorders>
            <w:noWrap w:val="0"/>
            <w:vAlign w:val="center"/>
          </w:tcPr>
          <w:p w14:paraId="7E5AD896">
            <w:pPr>
              <w:widowControl/>
              <w:spacing w:line="340" w:lineRule="exact"/>
              <w:ind w:firstLine="0" w:firstLineChars="0"/>
              <w:rPr>
                <w:rFonts w:hint="default" w:ascii="Times New Roman" w:hAnsi="Times New Roman" w:eastAsia="宋体" w:cs="Times New Roman"/>
                <w:color w:val="auto"/>
                <w:kern w:val="0"/>
                <w:sz w:val="24"/>
                <w:szCs w:val="24"/>
              </w:rPr>
            </w:pPr>
          </w:p>
        </w:tc>
      </w:tr>
      <w:tr w14:paraId="3373D76F">
        <w:tblPrEx>
          <w:tblCellMar>
            <w:top w:w="0" w:type="dxa"/>
            <w:left w:w="108" w:type="dxa"/>
            <w:bottom w:w="0" w:type="dxa"/>
            <w:right w:w="108" w:type="dxa"/>
          </w:tblCellMar>
        </w:tblPrEx>
        <w:trPr>
          <w:trHeight w:val="612" w:hRule="atLeast"/>
        </w:trPr>
        <w:tc>
          <w:tcPr>
            <w:tcW w:w="703" w:type="dxa"/>
            <w:tcBorders>
              <w:top w:val="single" w:color="auto" w:sz="4" w:space="0"/>
              <w:left w:val="single" w:color="auto" w:sz="4" w:space="0"/>
              <w:bottom w:val="single" w:color="auto" w:sz="4" w:space="0"/>
              <w:right w:val="single" w:color="auto" w:sz="4" w:space="0"/>
            </w:tcBorders>
            <w:noWrap w:val="0"/>
            <w:vAlign w:val="center"/>
          </w:tcPr>
          <w:p w14:paraId="67453686">
            <w:pPr>
              <w:widowControl/>
              <w:spacing w:line="340" w:lineRule="exact"/>
              <w:ind w:firstLine="0" w:firstLineChars="0"/>
              <w:jc w:val="center"/>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7</w:t>
            </w:r>
          </w:p>
        </w:tc>
        <w:tc>
          <w:tcPr>
            <w:tcW w:w="2614" w:type="dxa"/>
            <w:tcBorders>
              <w:top w:val="single" w:color="auto" w:sz="4" w:space="0"/>
              <w:left w:val="single" w:color="auto" w:sz="4" w:space="0"/>
              <w:bottom w:val="single" w:color="auto" w:sz="4" w:space="0"/>
              <w:right w:val="single" w:color="auto" w:sz="4" w:space="0"/>
            </w:tcBorders>
            <w:noWrap w:val="0"/>
            <w:vAlign w:val="center"/>
          </w:tcPr>
          <w:p w14:paraId="2738C5C8">
            <w:pPr>
              <w:widowControl/>
              <w:spacing w:line="340" w:lineRule="exact"/>
              <w:ind w:firstLine="240" w:firstLineChars="100"/>
              <w:jc w:val="center"/>
              <w:rPr>
                <w:rFonts w:hint="eastAsia" w:ascii="Times New Roman" w:hAnsi="Times New Roman" w:eastAsia="宋体" w:cs="Times New Roman"/>
                <w:color w:val="auto"/>
                <w:kern w:val="0"/>
                <w:sz w:val="24"/>
                <w:szCs w:val="24"/>
                <w:lang w:eastAsia="zh-CN"/>
              </w:rPr>
            </w:pPr>
            <w:r>
              <w:rPr>
                <w:rFonts w:hint="eastAsia" w:ascii="Times New Roman" w:hAnsi="Times New Roman" w:cs="Times New Roman"/>
                <w:color w:val="auto"/>
                <w:kern w:val="0"/>
                <w:sz w:val="24"/>
                <w:szCs w:val="24"/>
                <w:lang w:eastAsia="zh-CN"/>
              </w:rPr>
              <w:t>机动车登记信息</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5A04FE3E">
            <w:pPr>
              <w:widowControl/>
              <w:spacing w:line="340" w:lineRule="exact"/>
              <w:ind w:firstLine="0" w:firstLineChars="0"/>
              <w:jc w:val="both"/>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免提交</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474A07C6">
            <w:pPr>
              <w:widowControl/>
              <w:spacing w:line="340" w:lineRule="exact"/>
              <w:rPr>
                <w:rFonts w:hint="eastAsia" w:ascii="Times New Roman" w:hAnsi="Times New Roman" w:eastAsia="宋体" w:cs="Times New Roman"/>
                <w:color w:val="auto"/>
                <w:kern w:val="0"/>
                <w:sz w:val="24"/>
                <w:szCs w:val="24"/>
                <w:lang w:eastAsia="zh-CN"/>
              </w:rPr>
            </w:pPr>
            <w:r>
              <w:rPr>
                <w:rFonts w:hint="eastAsia" w:ascii="Times New Roman" w:hAnsi="Times New Roman" w:cs="Times New Roman"/>
                <w:color w:val="auto"/>
                <w:kern w:val="0"/>
                <w:sz w:val="24"/>
                <w:szCs w:val="24"/>
                <w:lang w:eastAsia="zh-CN"/>
              </w:rPr>
              <w:t>在申请家庭成员名下</w:t>
            </w:r>
          </w:p>
        </w:tc>
        <w:tc>
          <w:tcPr>
            <w:tcW w:w="3508" w:type="dxa"/>
            <w:tcBorders>
              <w:top w:val="single" w:color="auto" w:sz="4" w:space="0"/>
              <w:left w:val="single" w:color="auto" w:sz="4" w:space="0"/>
              <w:bottom w:val="single" w:color="auto" w:sz="4" w:space="0"/>
              <w:right w:val="single" w:color="auto" w:sz="4" w:space="0"/>
            </w:tcBorders>
            <w:noWrap w:val="0"/>
            <w:vAlign w:val="center"/>
          </w:tcPr>
          <w:p w14:paraId="757F648B">
            <w:pPr>
              <w:widowControl/>
              <w:spacing w:line="340" w:lineRule="exact"/>
              <w:ind w:firstLine="0" w:firstLineChars="0"/>
              <w:rPr>
                <w:rFonts w:hint="eastAsia" w:ascii="Times New Roman" w:hAnsi="Times New Roman" w:eastAsia="宋体" w:cs="Times New Roman"/>
                <w:color w:val="auto"/>
                <w:kern w:val="0"/>
                <w:sz w:val="24"/>
                <w:szCs w:val="24"/>
                <w:lang w:eastAsia="zh-CN"/>
              </w:rPr>
            </w:pPr>
          </w:p>
        </w:tc>
      </w:tr>
      <w:tr w14:paraId="08B6B398">
        <w:tblPrEx>
          <w:tblCellMar>
            <w:top w:w="0" w:type="dxa"/>
            <w:left w:w="108" w:type="dxa"/>
            <w:bottom w:w="0" w:type="dxa"/>
            <w:right w:w="108" w:type="dxa"/>
          </w:tblCellMar>
        </w:tblPrEx>
        <w:trPr>
          <w:trHeight w:val="495" w:hRule="atLeast"/>
        </w:trPr>
        <w:tc>
          <w:tcPr>
            <w:tcW w:w="703" w:type="dxa"/>
            <w:tcBorders>
              <w:top w:val="single" w:color="auto" w:sz="4" w:space="0"/>
              <w:left w:val="single" w:color="auto" w:sz="4" w:space="0"/>
              <w:bottom w:val="single" w:color="auto" w:sz="4" w:space="0"/>
              <w:right w:val="single" w:color="auto" w:sz="4" w:space="0"/>
            </w:tcBorders>
            <w:noWrap w:val="0"/>
            <w:vAlign w:val="center"/>
          </w:tcPr>
          <w:p w14:paraId="0328F5E8">
            <w:pPr>
              <w:widowControl/>
              <w:spacing w:line="340" w:lineRule="exact"/>
              <w:ind w:firstLine="0" w:firstLineChars="0"/>
              <w:jc w:val="center"/>
              <w:rPr>
                <w:rFonts w:hint="default" w:ascii="Times New Roman" w:hAnsi="Times New Roman"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8</w:t>
            </w:r>
          </w:p>
        </w:tc>
        <w:tc>
          <w:tcPr>
            <w:tcW w:w="2614" w:type="dxa"/>
            <w:tcBorders>
              <w:top w:val="single" w:color="auto" w:sz="4" w:space="0"/>
              <w:left w:val="single" w:color="auto" w:sz="4" w:space="0"/>
              <w:bottom w:val="single" w:color="auto" w:sz="4" w:space="0"/>
              <w:right w:val="single" w:color="auto" w:sz="4" w:space="0"/>
            </w:tcBorders>
            <w:noWrap w:val="0"/>
            <w:vAlign w:val="center"/>
          </w:tcPr>
          <w:p w14:paraId="6BA7392E">
            <w:pPr>
              <w:widowControl/>
              <w:spacing w:line="340" w:lineRule="exact"/>
              <w:ind w:firstLine="240" w:firstLineChars="100"/>
              <w:jc w:val="center"/>
              <w:rPr>
                <w:rFonts w:hint="eastAsia" w:ascii="Times New Roman" w:hAnsi="Times New Roman" w:cs="Times New Roman"/>
                <w:color w:val="auto"/>
                <w:kern w:val="0"/>
                <w:sz w:val="24"/>
                <w:szCs w:val="24"/>
                <w:lang w:eastAsia="zh-CN"/>
              </w:rPr>
            </w:pPr>
            <w:r>
              <w:rPr>
                <w:rFonts w:hint="eastAsia" w:ascii="Times New Roman" w:hAnsi="Times New Roman" w:cs="Times New Roman"/>
                <w:color w:val="auto"/>
                <w:kern w:val="0"/>
                <w:sz w:val="24"/>
                <w:szCs w:val="24"/>
                <w:lang w:eastAsia="zh-CN"/>
              </w:rPr>
              <w:t>工商信息</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46528A61">
            <w:pPr>
              <w:widowControl/>
              <w:spacing w:line="340" w:lineRule="exact"/>
              <w:ind w:firstLine="0" w:firstLineChars="0"/>
              <w:jc w:val="both"/>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免提交</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652F080F">
            <w:pPr>
              <w:widowControl/>
              <w:spacing w:line="340" w:lineRule="exact"/>
              <w:rPr>
                <w:rFonts w:hint="eastAsia" w:ascii="Times New Roman" w:hAnsi="Times New Roman" w:cs="Times New Roman"/>
                <w:color w:val="auto"/>
                <w:kern w:val="0"/>
                <w:sz w:val="24"/>
                <w:szCs w:val="24"/>
                <w:lang w:eastAsia="zh-CN"/>
              </w:rPr>
            </w:pPr>
            <w:r>
              <w:rPr>
                <w:rFonts w:hint="eastAsia" w:ascii="Times New Roman" w:hAnsi="Times New Roman" w:cs="Times New Roman"/>
                <w:color w:val="auto"/>
                <w:kern w:val="0"/>
                <w:sz w:val="24"/>
                <w:szCs w:val="24"/>
                <w:lang w:eastAsia="zh-CN"/>
              </w:rPr>
              <w:t>申请家庭成员名下</w:t>
            </w:r>
          </w:p>
        </w:tc>
        <w:tc>
          <w:tcPr>
            <w:tcW w:w="3508" w:type="dxa"/>
            <w:tcBorders>
              <w:top w:val="single" w:color="auto" w:sz="4" w:space="0"/>
              <w:left w:val="single" w:color="auto" w:sz="4" w:space="0"/>
              <w:bottom w:val="single" w:color="auto" w:sz="4" w:space="0"/>
              <w:right w:val="single" w:color="auto" w:sz="4" w:space="0"/>
            </w:tcBorders>
            <w:noWrap w:val="0"/>
            <w:vAlign w:val="center"/>
          </w:tcPr>
          <w:p w14:paraId="53AA4FA9">
            <w:pPr>
              <w:widowControl/>
              <w:spacing w:line="340" w:lineRule="exact"/>
              <w:ind w:firstLine="0" w:firstLineChars="0"/>
              <w:rPr>
                <w:rFonts w:hint="eastAsia" w:ascii="Times New Roman" w:hAnsi="Times New Roman" w:cs="Times New Roman"/>
                <w:color w:val="auto"/>
                <w:kern w:val="0"/>
                <w:sz w:val="24"/>
                <w:szCs w:val="24"/>
                <w:lang w:eastAsia="zh-CN"/>
              </w:rPr>
            </w:pPr>
          </w:p>
        </w:tc>
      </w:tr>
      <w:tr w14:paraId="6162AE98">
        <w:tblPrEx>
          <w:tblCellMar>
            <w:top w:w="0" w:type="dxa"/>
            <w:left w:w="108" w:type="dxa"/>
            <w:bottom w:w="0" w:type="dxa"/>
            <w:right w:w="108" w:type="dxa"/>
          </w:tblCellMar>
        </w:tblPrEx>
        <w:trPr>
          <w:trHeight w:val="823" w:hRule="atLeast"/>
        </w:trPr>
        <w:tc>
          <w:tcPr>
            <w:tcW w:w="703" w:type="dxa"/>
            <w:tcBorders>
              <w:top w:val="single" w:color="auto" w:sz="4" w:space="0"/>
              <w:left w:val="single" w:color="auto" w:sz="4" w:space="0"/>
              <w:bottom w:val="single" w:color="auto" w:sz="4" w:space="0"/>
              <w:right w:val="single" w:color="auto" w:sz="4" w:space="0"/>
            </w:tcBorders>
            <w:noWrap w:val="0"/>
            <w:vAlign w:val="center"/>
          </w:tcPr>
          <w:p w14:paraId="43CD4AA9">
            <w:pPr>
              <w:widowControl/>
              <w:spacing w:line="340" w:lineRule="exact"/>
              <w:ind w:firstLine="0" w:firstLineChars="0"/>
              <w:jc w:val="center"/>
              <w:rPr>
                <w:rFonts w:hint="default" w:ascii="Times New Roman" w:hAnsi="Times New Roman"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9</w:t>
            </w:r>
          </w:p>
        </w:tc>
        <w:tc>
          <w:tcPr>
            <w:tcW w:w="2614" w:type="dxa"/>
            <w:tcBorders>
              <w:top w:val="single" w:color="auto" w:sz="4" w:space="0"/>
              <w:left w:val="single" w:color="auto" w:sz="4" w:space="0"/>
              <w:bottom w:val="single" w:color="auto" w:sz="4" w:space="0"/>
              <w:right w:val="single" w:color="auto" w:sz="4" w:space="0"/>
            </w:tcBorders>
            <w:noWrap w:val="0"/>
            <w:vAlign w:val="center"/>
          </w:tcPr>
          <w:p w14:paraId="54F9C596">
            <w:pPr>
              <w:widowControl/>
              <w:spacing w:line="340" w:lineRule="exact"/>
              <w:ind w:firstLine="240" w:firstLineChars="100"/>
              <w:jc w:val="center"/>
              <w:rPr>
                <w:rFonts w:hint="eastAsia" w:ascii="Times New Roman" w:hAnsi="Times New Roman" w:cs="Times New Roman"/>
                <w:color w:val="auto"/>
                <w:kern w:val="0"/>
                <w:sz w:val="24"/>
                <w:szCs w:val="24"/>
                <w:lang w:eastAsia="zh-CN"/>
              </w:rPr>
            </w:pPr>
            <w:r>
              <w:rPr>
                <w:rFonts w:hint="eastAsia" w:ascii="Times New Roman" w:hAnsi="Times New Roman" w:cs="Times New Roman"/>
                <w:color w:val="auto"/>
                <w:kern w:val="0"/>
                <w:sz w:val="24"/>
                <w:szCs w:val="24"/>
                <w:lang w:eastAsia="zh-CN"/>
              </w:rPr>
              <w:t>不动产信息</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169513A0">
            <w:pPr>
              <w:widowControl/>
              <w:spacing w:line="340" w:lineRule="exact"/>
              <w:ind w:firstLine="0" w:firstLineChars="0"/>
              <w:jc w:val="both"/>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免提交</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724A05FC">
            <w:pPr>
              <w:widowControl/>
              <w:spacing w:line="340" w:lineRule="exact"/>
              <w:rPr>
                <w:rFonts w:hint="eastAsia" w:ascii="Times New Roman" w:hAnsi="Times New Roman" w:cs="Times New Roman"/>
                <w:color w:val="auto"/>
                <w:kern w:val="0"/>
                <w:sz w:val="24"/>
                <w:szCs w:val="24"/>
                <w:lang w:eastAsia="zh-CN"/>
              </w:rPr>
            </w:pPr>
            <w:r>
              <w:rPr>
                <w:rFonts w:hint="eastAsia" w:ascii="Times New Roman" w:hAnsi="Times New Roman" w:cs="Times New Roman"/>
                <w:color w:val="auto"/>
                <w:kern w:val="0"/>
                <w:sz w:val="24"/>
                <w:szCs w:val="24"/>
                <w:lang w:eastAsia="zh-CN"/>
              </w:rPr>
              <w:t>申请家庭成员名下</w:t>
            </w:r>
          </w:p>
        </w:tc>
        <w:tc>
          <w:tcPr>
            <w:tcW w:w="3508" w:type="dxa"/>
            <w:tcBorders>
              <w:top w:val="single" w:color="auto" w:sz="4" w:space="0"/>
              <w:left w:val="single" w:color="auto" w:sz="4" w:space="0"/>
              <w:bottom w:val="single" w:color="auto" w:sz="4" w:space="0"/>
              <w:right w:val="single" w:color="auto" w:sz="4" w:space="0"/>
            </w:tcBorders>
            <w:noWrap w:val="0"/>
            <w:vAlign w:val="center"/>
          </w:tcPr>
          <w:p w14:paraId="010FDF84">
            <w:pPr>
              <w:widowControl/>
              <w:spacing w:line="340" w:lineRule="exact"/>
              <w:ind w:firstLine="0" w:firstLineChars="0"/>
              <w:rPr>
                <w:rFonts w:hint="eastAsia" w:ascii="Times New Roman" w:hAnsi="Times New Roman" w:cs="Times New Roman"/>
                <w:color w:val="auto"/>
                <w:kern w:val="0"/>
                <w:sz w:val="24"/>
                <w:szCs w:val="24"/>
                <w:lang w:eastAsia="zh-CN"/>
              </w:rPr>
            </w:pPr>
            <w:r>
              <w:rPr>
                <w:rFonts w:hint="eastAsia" w:ascii="Times New Roman" w:hAnsi="Times New Roman" w:cs="Times New Roman"/>
                <w:color w:val="auto"/>
                <w:kern w:val="0"/>
                <w:sz w:val="24"/>
                <w:szCs w:val="24"/>
                <w:lang w:eastAsia="zh-CN"/>
              </w:rPr>
              <w:t>户籍为城中村的要配租时需通过全国农村集体资产监督管理平台查询名下宅基地情况，城中村已经拆迁的需提供拆迁协议</w:t>
            </w:r>
          </w:p>
        </w:tc>
      </w:tr>
    </w:tbl>
    <w:p w14:paraId="5053ED7E">
      <w:pPr>
        <w:rPr>
          <w:rFonts w:hint="eastAsia"/>
          <w:lang w:val="en-US" w:eastAsia="zh-CN"/>
        </w:rPr>
      </w:pPr>
    </w:p>
    <w:p w14:paraId="3872AB4B">
      <w:pPr>
        <w:keepNext w:val="0"/>
        <w:keepLines w:val="0"/>
        <w:pageBreakBefore w:val="0"/>
        <w:widowControl/>
        <w:numPr>
          <w:ilvl w:val="-1"/>
          <w:numId w:val="0"/>
        </w:numPr>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color w:val="FF0000"/>
          <w:sz w:val="28"/>
          <w:szCs w:val="28"/>
          <w:lang w:val="en-US" w:eastAsia="zh-CN"/>
        </w:rPr>
      </w:pPr>
      <w:r>
        <w:rPr>
          <w:rFonts w:hint="eastAsia" w:ascii="仿宋_GB2312" w:hAnsi="仿宋_GB2312" w:eastAsia="仿宋_GB2312" w:cs="仿宋_GB2312"/>
          <w:color w:val="FF0000"/>
          <w:sz w:val="28"/>
          <w:szCs w:val="28"/>
          <w:lang w:val="en-US" w:eastAsia="zh-CN"/>
        </w:rPr>
        <w:t>如大数据能共享的无需提供，不能共享的需准备材料（如本户籍且为城中村户籍的需当面查询宅基地情况、拆迁安置村户籍的需提供拆迁协议）</w:t>
      </w:r>
    </w:p>
    <w:p w14:paraId="5EEA5A5B">
      <w:pPr>
        <w:keepNext w:val="0"/>
        <w:keepLines w:val="0"/>
        <w:pageBreakBefore w:val="0"/>
        <w:widowControl/>
        <w:numPr>
          <w:ilvl w:val="-1"/>
          <w:numId w:val="0"/>
        </w:numPr>
        <w:kinsoku/>
        <w:wordWrap/>
        <w:overflowPunct/>
        <w:topLinePunct w:val="0"/>
        <w:autoSpaceDE/>
        <w:autoSpaceDN/>
        <w:bidi w:val="0"/>
        <w:adjustRightInd/>
        <w:snapToGrid/>
        <w:ind w:firstLine="562" w:firstLineChars="200"/>
        <w:textAlignment w:val="auto"/>
        <w:rPr>
          <w:rFonts w:hint="eastAsia" w:ascii="黑体" w:hAnsi="黑体" w:eastAsia="黑体" w:cs="黑体"/>
          <w:sz w:val="28"/>
          <w:szCs w:val="28"/>
          <w:lang w:val="en-US" w:eastAsia="zh-CN"/>
        </w:rPr>
      </w:pPr>
      <w:r>
        <w:rPr>
          <w:rFonts w:hint="eastAsia" w:ascii="黑体" w:hAnsi="黑体" w:eastAsia="黑体" w:cs="黑体"/>
          <w:b/>
          <w:bCs/>
          <w:sz w:val="28"/>
          <w:szCs w:val="28"/>
          <w:lang w:val="en-US" w:eastAsia="zh-CN"/>
        </w:rPr>
        <w:t>三、移动端办理流程</w:t>
      </w:r>
    </w:p>
    <w:p w14:paraId="4DE4FFF0">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1.申请人可以通过豫事办App或支付宝小程序登录账号，点击“一件事”专区，选择“申请公租房”。</w:t>
      </w:r>
    </w:p>
    <w:p w14:paraId="1AB672C0">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以下为支付宝进入申请方法：</w:t>
      </w:r>
    </w:p>
    <w:p w14:paraId="73E6C798">
      <w:pPr>
        <w:pStyle w:val="1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1、在支付宝搜索栏搜索“豫事办”，点击“豫事办”小程序图标；</w:t>
      </w:r>
    </w:p>
    <w:p w14:paraId="3FAB5F98">
      <w:pPr>
        <w:pStyle w:val="1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2、进入“豫事办”小程序后在锐减服务栏向左滑动进入“一件事专区”。</w:t>
      </w:r>
    </w:p>
    <w:p w14:paraId="133A05B6">
      <w:pPr>
        <w:pStyle w:val="10"/>
        <w:ind w:firstLine="1120" w:firstLineChars="4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（1图）                            （2图）</w:t>
      </w:r>
    </w:p>
    <w:p w14:paraId="7991283E">
      <w:pPr>
        <w:pStyle w:val="10"/>
      </w:pPr>
      <w:r>
        <w:rPr>
          <w:rFonts w:hint="eastAsia" w:ascii="仿宋_GB2312" w:hAnsi="仿宋_GB2312" w:eastAsia="仿宋_GB2312" w:cs="仿宋_GB2312"/>
          <w:sz w:val="28"/>
          <w:szCs w:val="28"/>
          <w:lang w:val="en-US" w:eastAsia="zh-CN"/>
        </w:rPr>
        <w:drawing>
          <wp:inline distT="0" distB="0" distL="114300" distR="114300">
            <wp:extent cx="1650365" cy="3072765"/>
            <wp:effectExtent l="0" t="0" r="10795" b="5715"/>
            <wp:docPr id="8" name="图片 8" descr="f4817e24d79c6d37a60ac683df24f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4817e24d79c6d37a60ac683df24fff"/>
                    <pic:cNvPicPr>
                      <a:picLocks noChangeAspect="1"/>
                    </pic:cNvPicPr>
                  </pic:nvPicPr>
                  <pic:blipFill>
                    <a:blip r:embed="rId6"/>
                    <a:stretch>
                      <a:fillRect/>
                    </a:stretch>
                  </pic:blipFill>
                  <pic:spPr>
                    <a:xfrm>
                      <a:off x="0" y="0"/>
                      <a:ext cx="1650365" cy="3072765"/>
                    </a:xfrm>
                    <a:prstGeom prst="rect">
                      <a:avLst/>
                    </a:prstGeom>
                  </pic:spPr>
                </pic:pic>
              </a:graphicData>
            </a:graphic>
          </wp:inline>
        </w:drawing>
      </w:r>
      <w:r>
        <w:rPr>
          <w:rFonts w:hint="eastAsia" w:ascii="仿宋_GB2312" w:hAnsi="仿宋_GB2312" w:eastAsia="仿宋_GB2312" w:cs="仿宋_GB2312"/>
          <w:sz w:val="28"/>
          <w:szCs w:val="28"/>
          <w:lang w:val="en-US" w:eastAsia="zh-CN"/>
        </w:rPr>
        <w:t xml:space="preserve">                </w:t>
      </w:r>
      <w:r>
        <w:drawing>
          <wp:inline distT="0" distB="0" distL="114300" distR="114300">
            <wp:extent cx="1635760" cy="3348990"/>
            <wp:effectExtent l="0" t="0" r="10160" b="381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1635760" cy="3348990"/>
                    </a:xfrm>
                    <a:prstGeom prst="rect">
                      <a:avLst/>
                    </a:prstGeom>
                    <a:noFill/>
                    <a:ln>
                      <a:noFill/>
                    </a:ln>
                  </pic:spPr>
                </pic:pic>
              </a:graphicData>
            </a:graphic>
          </wp:inline>
        </w:drawing>
      </w:r>
    </w:p>
    <w:p w14:paraId="407CBD4A">
      <w:pPr>
        <w:pStyle w:val="10"/>
        <w:numPr>
          <w:ilvl w:val="0"/>
          <w:numId w:val="1"/>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进入“一件事专区”后向下找到“申请公租房”；</w:t>
      </w:r>
    </w:p>
    <w:p w14:paraId="4B60548A">
      <w:pPr>
        <w:pStyle w:val="10"/>
        <w:numPr>
          <w:ilvl w:val="0"/>
          <w:numId w:val="1"/>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点击立即办理并选择所在地区；（根据各县区申请条件及房源项目情况选择所在地区）</w:t>
      </w:r>
    </w:p>
    <w:p w14:paraId="7FC27CA7">
      <w:pPr>
        <w:pStyle w:val="10"/>
        <w:numPr>
          <w:ilvl w:val="0"/>
          <w:numId w:val="0"/>
        </w:numPr>
        <w:ind w:firstLine="1400" w:firstLineChars="500"/>
        <w:rPr>
          <w:rFonts w:hint="default" w:ascii="仿宋" w:hAnsi="仿宋" w:eastAsia="仿宋" w:cs="仿宋"/>
          <w:sz w:val="28"/>
          <w:szCs w:val="28"/>
          <w:lang w:eastAsia="zh-CN"/>
        </w:rPr>
      </w:pPr>
      <w:r>
        <w:rPr>
          <w:rFonts w:hint="default" w:ascii="仿宋" w:hAnsi="仿宋" w:eastAsia="仿宋" w:cs="仿宋"/>
          <w:sz w:val="28"/>
          <w:szCs w:val="28"/>
          <w:lang w:eastAsia="zh-CN"/>
        </w:rPr>
        <w:t>（3图）                          （4图）</w:t>
      </w:r>
    </w:p>
    <w:p w14:paraId="44156CC1">
      <w:pPr>
        <w:pStyle w:val="1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eastAsiaTheme="minorEastAsia"/>
          <w:lang w:val="en-US" w:eastAsia="zh-CN"/>
        </w:rPr>
        <w:drawing>
          <wp:inline distT="0" distB="0" distL="114300" distR="114300">
            <wp:extent cx="1703705" cy="2787015"/>
            <wp:effectExtent l="0" t="0" r="3175" b="1905"/>
            <wp:docPr id="11" name="图片 11" descr="f0033a952e89ab3de6fa6e3d014e8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0033a952e89ab3de6fa6e3d014e85e"/>
                    <pic:cNvPicPr>
                      <a:picLocks noChangeAspect="1"/>
                    </pic:cNvPicPr>
                  </pic:nvPicPr>
                  <pic:blipFill>
                    <a:blip r:embed="rId8"/>
                    <a:stretch>
                      <a:fillRect/>
                    </a:stretch>
                  </pic:blipFill>
                  <pic:spPr>
                    <a:xfrm>
                      <a:off x="0" y="0"/>
                      <a:ext cx="1703705" cy="2787015"/>
                    </a:xfrm>
                    <a:prstGeom prst="rect">
                      <a:avLst/>
                    </a:prstGeom>
                  </pic:spPr>
                </pic:pic>
              </a:graphicData>
            </a:graphic>
          </wp:inline>
        </w:drawing>
      </w:r>
      <w:r>
        <w:rPr>
          <w:rFonts w:hint="eastAsia"/>
          <w:lang w:val="en-US" w:eastAsia="zh-CN"/>
        </w:rPr>
        <w:t xml:space="preserve">      </w:t>
      </w:r>
      <w:r>
        <w:rPr>
          <w:rFonts w:hint="default"/>
          <w:lang w:eastAsia="zh-CN"/>
        </w:rPr>
        <w:t xml:space="preserve">      </w:t>
      </w:r>
      <w:r>
        <w:rPr>
          <w:rFonts w:hint="eastAsia"/>
          <w:lang w:val="en-US" w:eastAsia="zh-CN"/>
        </w:rPr>
        <w:t xml:space="preserve">   </w:t>
      </w:r>
      <w:r>
        <w:rPr>
          <w:rFonts w:hint="default" w:ascii="仿宋_GB2312" w:hAnsi="仿宋_GB2312" w:eastAsia="仿宋_GB2312" w:cs="仿宋_GB2312"/>
          <w:sz w:val="28"/>
          <w:szCs w:val="28"/>
          <w:lang w:val="en-US" w:eastAsia="zh-CN"/>
        </w:rPr>
        <w:drawing>
          <wp:inline distT="0" distB="0" distL="114300" distR="114300">
            <wp:extent cx="1637030" cy="2660650"/>
            <wp:effectExtent l="0" t="0" r="8890" b="6350"/>
            <wp:docPr id="16" name="图片 16" descr="c566ac109f025b5869917ad7b78c9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566ac109f025b5869917ad7b78c9e0"/>
                    <pic:cNvPicPr>
                      <a:picLocks noChangeAspect="1"/>
                    </pic:cNvPicPr>
                  </pic:nvPicPr>
                  <pic:blipFill>
                    <a:blip r:embed="rId9"/>
                    <a:stretch>
                      <a:fillRect/>
                    </a:stretch>
                  </pic:blipFill>
                  <pic:spPr>
                    <a:xfrm>
                      <a:off x="0" y="0"/>
                      <a:ext cx="1637030" cy="2660650"/>
                    </a:xfrm>
                    <a:prstGeom prst="rect">
                      <a:avLst/>
                    </a:prstGeom>
                  </pic:spPr>
                </pic:pic>
              </a:graphicData>
            </a:graphic>
          </wp:inline>
        </w:drawing>
      </w:r>
    </w:p>
    <w:p w14:paraId="05B26627">
      <w:pPr>
        <w:pStyle w:val="10"/>
        <w:numPr>
          <w:ilvl w:val="0"/>
          <w:numId w:val="1"/>
        </w:numPr>
        <w:ind w:left="0" w:leftChars="0"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等待倒计时结束点击开始申报，填写基本信息，点击下一步；</w:t>
      </w:r>
    </w:p>
    <w:p w14:paraId="1C82AAC0">
      <w:pPr>
        <w:pStyle w:val="10"/>
        <w:numPr>
          <w:ilvl w:val="0"/>
          <w:numId w:val="0"/>
        </w:numPr>
        <w:ind w:leftChars="200" w:firstLine="1400" w:firstLineChars="500"/>
        <w:rPr>
          <w:rFonts w:hint="default" w:asciiTheme="minorEastAsia" w:hAnsiTheme="minorEastAsia" w:cstheme="minorEastAsia"/>
          <w:sz w:val="28"/>
          <w:szCs w:val="28"/>
          <w:lang w:eastAsia="zh-CN"/>
        </w:rPr>
      </w:pPr>
      <w:r>
        <w:rPr>
          <w:rFonts w:hint="default" w:asciiTheme="minorEastAsia" w:hAnsiTheme="minorEastAsia" w:cstheme="minorEastAsia"/>
          <w:sz w:val="28"/>
          <w:szCs w:val="28"/>
          <w:lang w:eastAsia="zh-CN"/>
        </w:rPr>
        <w:t>（5图）                         （6图）</w:t>
      </w:r>
    </w:p>
    <w:p w14:paraId="5F3DF563">
      <w:pPr>
        <w:pStyle w:val="10"/>
        <w:numPr>
          <w:ilvl w:val="0"/>
          <w:numId w:val="0"/>
        </w:numPr>
        <w:ind w:leftChars="200"/>
        <w:rPr>
          <w:rFonts w:hint="default" w:asciiTheme="minorEastAsia" w:hAnsiTheme="minorEastAsia" w:cstheme="minorEastAsia"/>
          <w:sz w:val="32"/>
          <w:szCs w:val="32"/>
          <w:lang w:val="en-US" w:eastAsia="zh-CN"/>
        </w:rPr>
      </w:pPr>
      <w:r>
        <w:rPr>
          <w:rFonts w:hint="default" w:asciiTheme="minorEastAsia" w:hAnsiTheme="minorEastAsia" w:cstheme="minorEastAsia"/>
          <w:sz w:val="32"/>
          <w:szCs w:val="32"/>
          <w:lang w:val="en-US" w:eastAsia="zh-CN"/>
        </w:rPr>
        <w:drawing>
          <wp:inline distT="0" distB="0" distL="114300" distR="114300">
            <wp:extent cx="2333625" cy="1729740"/>
            <wp:effectExtent l="0" t="0" r="0" b="3810"/>
            <wp:docPr id="17" name="图片 17" descr="ddccd1e1da7ffa4bf98a21ecc83ad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ddccd1e1da7ffa4bf98a21ecc83ad2e"/>
                    <pic:cNvPicPr>
                      <a:picLocks noChangeAspect="1"/>
                    </pic:cNvPicPr>
                  </pic:nvPicPr>
                  <pic:blipFill>
                    <a:blip r:embed="rId10"/>
                    <a:srcRect t="72619" r="1320"/>
                    <a:stretch>
                      <a:fillRect/>
                    </a:stretch>
                  </pic:blipFill>
                  <pic:spPr>
                    <a:xfrm>
                      <a:off x="0" y="0"/>
                      <a:ext cx="2333625" cy="1729740"/>
                    </a:xfrm>
                    <a:prstGeom prst="rect">
                      <a:avLst/>
                    </a:prstGeom>
                  </pic:spPr>
                </pic:pic>
              </a:graphicData>
            </a:graphic>
          </wp:inline>
        </w:drawing>
      </w:r>
      <w:r>
        <w:rPr>
          <w:rFonts w:hint="default" w:asciiTheme="minorEastAsia" w:hAnsiTheme="minorEastAsia" w:cstheme="minorEastAsia"/>
          <w:sz w:val="32"/>
          <w:szCs w:val="32"/>
          <w:lang w:eastAsia="zh-CN"/>
        </w:rPr>
        <w:t xml:space="preserve">       </w:t>
      </w:r>
      <w:r>
        <w:rPr>
          <w:rFonts w:hint="default" w:asciiTheme="minorEastAsia" w:hAnsiTheme="minorEastAsia" w:cstheme="minorEastAsia"/>
          <w:sz w:val="32"/>
          <w:szCs w:val="32"/>
          <w:lang w:val="en-US" w:eastAsia="zh-CN"/>
        </w:rPr>
        <w:drawing>
          <wp:inline distT="0" distB="0" distL="114300" distR="114300">
            <wp:extent cx="2486660" cy="1714500"/>
            <wp:effectExtent l="0" t="0" r="8890" b="0"/>
            <wp:docPr id="18" name="图片 18" descr="8e10cb402cef066b887618704b292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8e10cb402cef066b887618704b292bf"/>
                    <pic:cNvPicPr>
                      <a:picLocks noChangeAspect="1"/>
                    </pic:cNvPicPr>
                  </pic:nvPicPr>
                  <pic:blipFill>
                    <a:blip r:embed="rId11"/>
                    <a:srcRect t="59208"/>
                    <a:stretch>
                      <a:fillRect/>
                    </a:stretch>
                  </pic:blipFill>
                  <pic:spPr>
                    <a:xfrm>
                      <a:off x="0" y="0"/>
                      <a:ext cx="2486660" cy="1714500"/>
                    </a:xfrm>
                    <a:prstGeom prst="rect">
                      <a:avLst/>
                    </a:prstGeom>
                  </pic:spPr>
                </pic:pic>
              </a:graphicData>
            </a:graphic>
          </wp:inline>
        </w:drawing>
      </w:r>
    </w:p>
    <w:p w14:paraId="45C5880E">
      <w:pPr>
        <w:pStyle w:val="10"/>
        <w:numPr>
          <w:ilvl w:val="0"/>
          <w:numId w:val="1"/>
        </w:numPr>
        <w:ind w:left="0" w:leftChars="0" w:firstLine="560" w:firstLineChars="200"/>
        <w:rPr>
          <w:rFonts w:hint="default" w:ascii="仿宋" w:hAnsi="仿宋" w:eastAsia="仿宋" w:cs="仿宋"/>
          <w:sz w:val="28"/>
          <w:szCs w:val="28"/>
          <w:lang w:eastAsia="zh-CN"/>
        </w:rPr>
      </w:pPr>
      <w:r>
        <w:rPr>
          <w:rFonts w:hint="eastAsia" w:ascii="仿宋" w:hAnsi="仿宋" w:eastAsia="仿宋" w:cs="仿宋"/>
          <w:sz w:val="28"/>
          <w:szCs w:val="28"/>
          <w:lang w:val="en-US" w:eastAsia="zh-CN"/>
        </w:rPr>
        <w:t>根据申请人实际情况，如实选择基本信息，确认无误后点击下一步</w:t>
      </w:r>
      <w:r>
        <w:rPr>
          <w:rFonts w:hint="default" w:ascii="仿宋" w:hAnsi="仿宋" w:eastAsia="仿宋" w:cs="仿宋"/>
          <w:sz w:val="28"/>
          <w:szCs w:val="28"/>
          <w:lang w:eastAsia="zh-CN"/>
        </w:rPr>
        <w:t>；</w:t>
      </w:r>
    </w:p>
    <w:p w14:paraId="2FE068C9">
      <w:pPr>
        <w:pStyle w:val="10"/>
        <w:numPr>
          <w:ilvl w:val="0"/>
          <w:numId w:val="1"/>
        </w:numPr>
        <w:ind w:left="0" w:leftChars="0"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完成在线填表--材料上传--申报确认流程。</w:t>
      </w:r>
    </w:p>
    <w:p w14:paraId="557E3532">
      <w:pPr>
        <w:pStyle w:val="10"/>
        <w:rPr>
          <w:rFonts w:hint="default" w:ascii="仿宋_GB2312" w:hAnsi="仿宋_GB2312" w:eastAsia="仿宋_GB2312" w:cs="仿宋_GB2312"/>
          <w:sz w:val="28"/>
          <w:szCs w:val="28"/>
          <w:lang w:val="en-US" w:eastAsia="zh-CN"/>
        </w:rPr>
      </w:pPr>
      <w:r>
        <w:rPr>
          <w:rFonts w:hint="default" w:ascii="仿宋" w:hAnsi="仿宋" w:eastAsia="仿宋" w:cs="仿宋"/>
          <w:sz w:val="28"/>
          <w:szCs w:val="28"/>
          <w:lang w:eastAsia="zh-CN"/>
        </w:rPr>
        <w:t>8</w:t>
      </w:r>
      <w:r>
        <w:rPr>
          <w:rFonts w:hint="eastAsia" w:ascii="仿宋" w:hAnsi="仿宋" w:eastAsia="仿宋" w:cs="仿宋"/>
          <w:sz w:val="28"/>
          <w:szCs w:val="28"/>
          <w:lang w:val="en-US" w:eastAsia="zh-CN"/>
        </w:rPr>
        <w:t>、申报成功后会显示如下界面，同时还会收到一条确认短消息。</w:t>
      </w:r>
    </w:p>
    <w:p w14:paraId="7A557013">
      <w:pPr>
        <w:pStyle w:val="10"/>
        <w:rPr>
          <w:rFonts w:hint="default" w:asciiTheme="minorEastAsia" w:hAnsiTheme="minorEastAsia" w:cstheme="minorEastAsia"/>
          <w:sz w:val="32"/>
          <w:szCs w:val="32"/>
          <w:lang w:val="en-US" w:eastAsia="zh-CN"/>
        </w:rPr>
      </w:pPr>
    </w:p>
    <w:p w14:paraId="63F29CAB">
      <w:pPr>
        <w:pStyle w:val="10"/>
        <w:ind w:firstLine="1680" w:firstLineChars="600"/>
        <w:rPr>
          <w:rFonts w:hint="default" w:ascii="仿宋_GB2312" w:hAnsi="仿宋_GB2312" w:eastAsia="仿宋_GB2312" w:cs="仿宋_GB2312"/>
          <w:sz w:val="28"/>
          <w:szCs w:val="28"/>
          <w:lang w:eastAsia="zh-CN"/>
        </w:rPr>
      </w:pPr>
      <w:r>
        <w:rPr>
          <w:rFonts w:hint="default" w:ascii="仿宋_GB2312" w:hAnsi="仿宋_GB2312" w:eastAsia="仿宋_GB2312" w:cs="仿宋_GB2312"/>
          <w:sz w:val="28"/>
          <w:szCs w:val="28"/>
          <w:lang w:eastAsia="zh-CN"/>
        </w:rPr>
        <w:t>（7图）                       （8图）</w:t>
      </w:r>
    </w:p>
    <w:p w14:paraId="2648DCE5">
      <w:pPr>
        <w:pStyle w:val="10"/>
        <w:rPr>
          <w:rFonts w:hint="default" w:asciiTheme="minorEastAsia" w:hAnsiTheme="minorEastAsia" w:cstheme="minorEastAsia"/>
          <w:b/>
          <w:bCs/>
          <w:sz w:val="32"/>
          <w:szCs w:val="32"/>
          <w:lang w:val="en-US" w:eastAsia="zh-CN"/>
        </w:rPr>
      </w:pPr>
      <w:r>
        <w:rPr>
          <w:rFonts w:hint="default" w:asciiTheme="minorEastAsia" w:hAnsiTheme="minorEastAsia" w:cstheme="minorEastAsia"/>
          <w:b/>
          <w:bCs/>
          <w:sz w:val="32"/>
          <w:szCs w:val="32"/>
          <w:lang w:val="en-US" w:eastAsia="zh-CN"/>
        </w:rPr>
        <w:drawing>
          <wp:inline distT="0" distB="0" distL="114300" distR="114300">
            <wp:extent cx="2085340" cy="4060825"/>
            <wp:effectExtent l="0" t="0" r="635" b="6350"/>
            <wp:docPr id="19" name="图片 19" descr="9ecaf9135f34df21fff5653f22e31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9ecaf9135f34df21fff5653f22e31ad"/>
                    <pic:cNvPicPr>
                      <a:picLocks noChangeAspect="1"/>
                    </pic:cNvPicPr>
                  </pic:nvPicPr>
                  <pic:blipFill>
                    <a:blip r:embed="rId12"/>
                    <a:srcRect t="5482" b="459"/>
                    <a:stretch>
                      <a:fillRect/>
                    </a:stretch>
                  </pic:blipFill>
                  <pic:spPr>
                    <a:xfrm>
                      <a:off x="0" y="0"/>
                      <a:ext cx="2085340" cy="4060825"/>
                    </a:xfrm>
                    <a:prstGeom prst="rect">
                      <a:avLst/>
                    </a:prstGeom>
                  </pic:spPr>
                </pic:pic>
              </a:graphicData>
            </a:graphic>
          </wp:inline>
        </w:drawing>
      </w:r>
      <w:r>
        <w:rPr>
          <w:rFonts w:hint="eastAsia" w:asciiTheme="minorEastAsia" w:hAnsiTheme="minorEastAsia" w:cstheme="minorEastAsia"/>
          <w:b/>
          <w:bCs/>
          <w:sz w:val="32"/>
          <w:szCs w:val="32"/>
          <w:lang w:val="en-US" w:eastAsia="zh-CN"/>
        </w:rPr>
        <w:t xml:space="preserve"> </w:t>
      </w:r>
      <w:r>
        <w:rPr>
          <w:rFonts w:hint="default" w:asciiTheme="minorEastAsia" w:hAnsiTheme="minorEastAsia" w:cstheme="minorEastAsia"/>
          <w:b/>
          <w:bCs/>
          <w:sz w:val="32"/>
          <w:szCs w:val="32"/>
          <w:lang w:eastAsia="zh-CN"/>
        </w:rPr>
        <w:t xml:space="preserve">    </w:t>
      </w:r>
      <w:r>
        <w:rPr>
          <w:rFonts w:hint="eastAsia" w:asciiTheme="minorEastAsia" w:hAnsiTheme="minorEastAsia" w:cstheme="minorEastAsia"/>
          <w:b/>
          <w:bCs/>
          <w:sz w:val="32"/>
          <w:szCs w:val="32"/>
          <w:lang w:val="en-US" w:eastAsia="zh-CN"/>
        </w:rPr>
        <w:t xml:space="preserve">  </w:t>
      </w:r>
      <w:r>
        <w:rPr>
          <w:rFonts w:hint="default" w:asciiTheme="minorEastAsia" w:hAnsiTheme="minorEastAsia" w:cstheme="minorEastAsia"/>
          <w:b/>
          <w:bCs/>
          <w:sz w:val="32"/>
          <w:szCs w:val="32"/>
          <w:lang w:val="en-US" w:eastAsia="zh-CN"/>
        </w:rPr>
        <w:drawing>
          <wp:inline distT="0" distB="0" distL="114300" distR="114300">
            <wp:extent cx="2054225" cy="4146550"/>
            <wp:effectExtent l="0" t="0" r="3175" b="6350"/>
            <wp:docPr id="20" name="图片 20" descr="5cdff45e9d6721b1fa8a5d7aab07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5cdff45e9d6721b1fa8a5d7aab07243"/>
                    <pic:cNvPicPr>
                      <a:picLocks noChangeAspect="1"/>
                    </pic:cNvPicPr>
                  </pic:nvPicPr>
                  <pic:blipFill>
                    <a:blip r:embed="rId13"/>
                    <a:srcRect l="-233" t="6958" r="233"/>
                    <a:stretch>
                      <a:fillRect/>
                    </a:stretch>
                  </pic:blipFill>
                  <pic:spPr>
                    <a:xfrm>
                      <a:off x="0" y="0"/>
                      <a:ext cx="2054225" cy="4146550"/>
                    </a:xfrm>
                    <a:prstGeom prst="rect">
                      <a:avLst/>
                    </a:prstGeom>
                  </pic:spPr>
                </pic:pic>
              </a:graphicData>
            </a:graphic>
          </wp:inline>
        </w:drawing>
      </w:r>
    </w:p>
    <w:p w14:paraId="443462B8">
      <w:pPr>
        <w:pStyle w:val="10"/>
        <w:keepNext w:val="0"/>
        <w:keepLines w:val="0"/>
        <w:pageBreakBefore w:val="0"/>
        <w:widowControl w:val="0"/>
        <w:numPr>
          <w:ilvl w:val="0"/>
          <w:numId w:val="0"/>
        </w:numPr>
        <w:kinsoku/>
        <w:wordWrap/>
        <w:overflowPunct/>
        <w:topLinePunct w:val="0"/>
        <w:autoSpaceDE/>
        <w:autoSpaceDN/>
        <w:bidi w:val="0"/>
        <w:adjustRightInd/>
        <w:snapToGrid/>
        <w:ind w:leftChars="200" w:firstLine="281" w:firstLineChars="100"/>
        <w:textAlignment w:val="auto"/>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四、“豫事办”申请流程及内容</w:t>
      </w:r>
    </w:p>
    <w:p w14:paraId="2244ED93">
      <w:pPr>
        <w:pStyle w:val="10"/>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申请流程与内容与支付宝方法一致，唯一不同的是需要申请人在应用手机的商店内下载“豫事办”app。</w:t>
      </w:r>
    </w:p>
    <w:p w14:paraId="5F7A8C70">
      <w:pPr>
        <w:pStyle w:val="10"/>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注：安卓系统手机、华为鸿蒙系统手机的应用商店内都有“豫事办”APP可以下载。苹果手机暂无法下载。</w:t>
      </w:r>
    </w:p>
    <w:p w14:paraId="2D033B06">
      <w:pPr>
        <w:pStyle w:val="10"/>
        <w:keepNext w:val="0"/>
        <w:keepLines w:val="0"/>
        <w:pageBreakBefore w:val="0"/>
        <w:widowControl w:val="0"/>
        <w:numPr>
          <w:ilvl w:val="0"/>
          <w:numId w:val="2"/>
        </w:numPr>
        <w:kinsoku/>
        <w:wordWrap/>
        <w:overflowPunct/>
        <w:topLinePunct w:val="0"/>
        <w:autoSpaceDE/>
        <w:autoSpaceDN/>
        <w:bidi w:val="0"/>
        <w:adjustRightInd/>
        <w:snapToGrid/>
        <w:ind w:left="0" w:leftChars="0"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线下办理地地址及时间及咨询电话</w:t>
      </w:r>
    </w:p>
    <w:p w14:paraId="5AFDC100">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560" w:firstLineChars="200"/>
        <w:textAlignment w:val="auto"/>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1.老城区行政服务中心（东厅）老城区墨香路与状元红路交叉口西北角， 工作日上午9:00-12：00下午13:00-17:00   咨询电话：63993782</w:t>
      </w:r>
    </w:p>
    <w:p w14:paraId="73307AB0">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560" w:firstLineChars="200"/>
        <w:textAlignment w:val="auto"/>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2.西工区政务服务中心三楼15号窗口（九都路与解放路交叉口往西100米），工作日上午9:00-12：00下午13:00-17:00，咨询电话：63218382</w:t>
      </w:r>
    </w:p>
    <w:p w14:paraId="3DE8BC06">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560" w:firstLineChars="200"/>
        <w:textAlignment w:val="auto"/>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3.瀍河区新街117号保障科，夏季工作日上午8:30-12：00，下午3:00-6:30；冬季工作日上午8:30-12:00，下午2:30-6:00，咨询电话：65171960</w:t>
      </w:r>
    </w:p>
    <w:p w14:paraId="521545CA">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560" w:firstLineChars="200"/>
        <w:textAlignment w:val="auto"/>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4.涧西区太原路22号（联盟路太原路交叉口）公积金大厦6楼601，夏季工作日上午8:30-12：00，下午3:00-6:30；冬季工作日上午8:30-12:00，下午2:30-6:00，咨询电话：64150780</w:t>
      </w:r>
    </w:p>
    <w:p w14:paraId="4E246E99">
      <w:pPr>
        <w:pStyle w:val="10"/>
        <w:keepNext w:val="0"/>
        <w:keepLines w:val="0"/>
        <w:pageBreakBefore w:val="0"/>
        <w:widowControl w:val="0"/>
        <w:numPr>
          <w:ilvl w:val="0"/>
          <w:numId w:val="2"/>
        </w:numPr>
        <w:kinsoku/>
        <w:wordWrap/>
        <w:overflowPunct/>
        <w:topLinePunct w:val="0"/>
        <w:autoSpaceDE/>
        <w:autoSpaceDN/>
        <w:bidi w:val="0"/>
        <w:adjustRightInd/>
        <w:snapToGrid/>
        <w:ind w:left="0" w:leftChars="0" w:firstLine="643" w:firstLineChars="200"/>
        <w:textAlignment w:val="auto"/>
        <w:rPr>
          <w:rFonts w:hint="eastAsia" w:asciiTheme="minorEastAsia" w:hAnsiTheme="minorEastAsia" w:cstheme="minorEastAsia"/>
          <w:b/>
          <w:bCs/>
          <w:sz w:val="32"/>
          <w:szCs w:val="32"/>
          <w:lang w:val="en-US" w:eastAsia="zh-CN"/>
        </w:rPr>
      </w:pPr>
      <w:r>
        <w:rPr>
          <w:rFonts w:hint="eastAsia" w:asciiTheme="minorEastAsia" w:hAnsiTheme="minorEastAsia" w:cstheme="minorEastAsia"/>
          <w:b/>
          <w:bCs/>
          <w:sz w:val="32"/>
          <w:szCs w:val="32"/>
          <w:lang w:val="en-US" w:eastAsia="zh-CN"/>
        </w:rPr>
        <w:t>市财政建设公租房项目基本情况</w:t>
      </w:r>
    </w:p>
    <w:p w14:paraId="1192CE0B">
      <w:pPr>
        <w:keepNext w:val="0"/>
        <w:keepLines w:val="0"/>
        <w:pageBreakBefore w:val="0"/>
        <w:widowControl w:val="0"/>
        <w:kinsoku/>
        <w:wordWrap/>
        <w:overflowPunct/>
        <w:topLinePunct w:val="0"/>
        <w:autoSpaceDE/>
        <w:autoSpaceDN/>
        <w:bidi w:val="0"/>
        <w:adjustRightInd/>
        <w:snapToGrid/>
        <w:spacing w:line="572" w:lineRule="exact"/>
        <w:ind w:left="0" w:leftChars="0" w:firstLine="2200" w:firstLineChars="500"/>
        <w:jc w:val="both"/>
        <w:textAlignment w:val="auto"/>
        <w:rPr>
          <w:rFonts w:hint="eastAsia" w:ascii="宋体" w:hAnsi="宋体" w:eastAsia="宋体" w:cs="宋体"/>
          <w:sz w:val="44"/>
          <w:szCs w:val="44"/>
          <w:lang w:val="en-US" w:eastAsia="zh-CN"/>
        </w:rPr>
      </w:pPr>
      <w:r>
        <w:rPr>
          <w:rFonts w:hint="eastAsia" w:ascii="宋体" w:hAnsi="宋体" w:eastAsia="宋体" w:cs="宋体"/>
          <w:sz w:val="44"/>
          <w:szCs w:val="44"/>
        </w:rPr>
        <w:t>洛阳</w:t>
      </w:r>
      <w:r>
        <w:rPr>
          <w:rFonts w:hint="eastAsia" w:ascii="宋体" w:hAnsi="宋体" w:eastAsia="宋体" w:cs="宋体"/>
          <w:sz w:val="44"/>
          <w:szCs w:val="44"/>
          <w:lang w:eastAsia="zh-CN"/>
        </w:rPr>
        <w:t>市财政公租房</w:t>
      </w:r>
      <w:r>
        <w:rPr>
          <w:rFonts w:hint="eastAsia" w:ascii="宋体" w:hAnsi="宋体" w:eastAsia="宋体" w:cs="宋体"/>
          <w:sz w:val="44"/>
          <w:szCs w:val="44"/>
        </w:rPr>
        <w:t>房源</w:t>
      </w:r>
      <w:r>
        <w:rPr>
          <w:rFonts w:hint="eastAsia" w:ascii="宋体" w:hAnsi="宋体" w:eastAsia="宋体" w:cs="宋体"/>
          <w:sz w:val="44"/>
          <w:szCs w:val="44"/>
          <w:lang w:eastAsia="zh-CN"/>
        </w:rPr>
        <w:t>一栏表</w:t>
      </w:r>
    </w:p>
    <w:tbl>
      <w:tblPr>
        <w:tblStyle w:val="8"/>
        <w:tblW w:w="9204" w:type="dxa"/>
        <w:tblInd w:w="232" w:type="dxa"/>
        <w:tblLayout w:type="fixed"/>
        <w:tblCellMar>
          <w:top w:w="0" w:type="dxa"/>
          <w:left w:w="0" w:type="dxa"/>
          <w:bottom w:w="0" w:type="dxa"/>
          <w:right w:w="0" w:type="dxa"/>
        </w:tblCellMar>
      </w:tblPr>
      <w:tblGrid>
        <w:gridCol w:w="427"/>
        <w:gridCol w:w="1568"/>
        <w:gridCol w:w="533"/>
        <w:gridCol w:w="909"/>
        <w:gridCol w:w="1680"/>
        <w:gridCol w:w="682"/>
        <w:gridCol w:w="800"/>
        <w:gridCol w:w="529"/>
        <w:gridCol w:w="2076"/>
      </w:tblGrid>
      <w:tr w14:paraId="5CA19582">
        <w:tblPrEx>
          <w:tblCellMar>
            <w:top w:w="0" w:type="dxa"/>
            <w:left w:w="0" w:type="dxa"/>
            <w:bottom w:w="0" w:type="dxa"/>
            <w:right w:w="0" w:type="dxa"/>
          </w:tblCellMar>
        </w:tblPrEx>
        <w:trPr>
          <w:trHeight w:val="692" w:hRule="atLeast"/>
        </w:trPr>
        <w:tc>
          <w:tcPr>
            <w:tcW w:w="4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0EB052">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所属 城区</w:t>
            </w:r>
          </w:p>
        </w:tc>
        <w:tc>
          <w:tcPr>
            <w:tcW w:w="15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C12918">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项目名称</w:t>
            </w:r>
          </w:p>
        </w:tc>
        <w:tc>
          <w:tcPr>
            <w:tcW w:w="5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BDCE7B">
            <w:pPr>
              <w:keepNext w:val="0"/>
              <w:keepLines w:val="0"/>
              <w:widowControl/>
              <w:suppressLineNumbers w:val="0"/>
              <w:jc w:val="center"/>
              <w:textAlignment w:val="center"/>
              <w:rPr>
                <w:rFonts w:hint="eastAsia" w:ascii="宋体" w:hAnsi="宋体" w:eastAsia="宋体" w:cs="宋体"/>
                <w:b/>
                <w:i w:val="0"/>
                <w:color w:val="000000"/>
                <w:kern w:val="0"/>
                <w:sz w:val="13"/>
                <w:szCs w:val="13"/>
                <w:u w:val="none"/>
                <w:lang w:val="en-US" w:eastAsia="zh-CN" w:bidi="ar"/>
              </w:rPr>
            </w:pPr>
            <w:r>
              <w:rPr>
                <w:rFonts w:hint="eastAsia" w:ascii="宋体" w:hAnsi="宋体" w:eastAsia="宋体" w:cs="宋体"/>
                <w:b/>
                <w:i w:val="0"/>
                <w:color w:val="000000"/>
                <w:kern w:val="0"/>
                <w:sz w:val="13"/>
                <w:szCs w:val="13"/>
                <w:u w:val="none"/>
                <w:lang w:val="en-US" w:eastAsia="zh-CN" w:bidi="ar"/>
              </w:rPr>
              <w:t>项目</w:t>
            </w:r>
          </w:p>
          <w:p w14:paraId="4B37A154">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套数</w:t>
            </w:r>
          </w:p>
        </w:tc>
        <w:tc>
          <w:tcPr>
            <w:tcW w:w="9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605962">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面  积</w:t>
            </w:r>
          </w:p>
        </w:tc>
        <w:tc>
          <w:tcPr>
            <w:tcW w:w="16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642B41">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户  型</w:t>
            </w:r>
          </w:p>
        </w:tc>
        <w:tc>
          <w:tcPr>
            <w:tcW w:w="6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E56335">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多/高层</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F19950">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气/暖</w:t>
            </w:r>
          </w:p>
        </w:tc>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D7EFD8">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基准</w:t>
            </w:r>
            <w:r>
              <w:rPr>
                <w:rFonts w:hint="eastAsia" w:ascii="宋体" w:hAnsi="宋体" w:eastAsia="宋体" w:cs="宋体"/>
                <w:b/>
                <w:i w:val="0"/>
                <w:color w:val="000000"/>
                <w:kern w:val="0"/>
                <w:sz w:val="13"/>
                <w:szCs w:val="13"/>
                <w:u w:val="none"/>
                <w:lang w:val="en-US" w:eastAsia="zh-CN" w:bidi="ar"/>
              </w:rPr>
              <w:br w:type="textWrapping"/>
            </w:r>
            <w:r>
              <w:rPr>
                <w:rFonts w:hint="eastAsia" w:ascii="宋体" w:hAnsi="宋体" w:eastAsia="宋体" w:cs="宋体"/>
                <w:b/>
                <w:i w:val="0"/>
                <w:color w:val="000000"/>
                <w:kern w:val="0"/>
                <w:sz w:val="13"/>
                <w:szCs w:val="13"/>
                <w:u w:val="none"/>
                <w:lang w:val="en-US" w:eastAsia="zh-CN" w:bidi="ar"/>
              </w:rPr>
              <w:t>租金</w:t>
            </w:r>
          </w:p>
        </w:tc>
        <w:tc>
          <w:tcPr>
            <w:tcW w:w="20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635735">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位  置</w:t>
            </w:r>
          </w:p>
        </w:tc>
      </w:tr>
      <w:tr w14:paraId="0584CDD6">
        <w:tblPrEx>
          <w:tblCellMar>
            <w:top w:w="0" w:type="dxa"/>
            <w:left w:w="0" w:type="dxa"/>
            <w:bottom w:w="0" w:type="dxa"/>
            <w:right w:w="0" w:type="dxa"/>
          </w:tblCellMar>
        </w:tblPrEx>
        <w:trPr>
          <w:trHeight w:val="90" w:hRule="atLeast"/>
        </w:trPr>
        <w:tc>
          <w:tcPr>
            <w:tcW w:w="42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05380F">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瀍     河     区</w:t>
            </w:r>
          </w:p>
        </w:tc>
        <w:tc>
          <w:tcPr>
            <w:tcW w:w="15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46D84A">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东明小区</w:t>
            </w:r>
          </w:p>
        </w:tc>
        <w:tc>
          <w:tcPr>
            <w:tcW w:w="5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23E245">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210</w:t>
            </w:r>
          </w:p>
        </w:tc>
        <w:tc>
          <w:tcPr>
            <w:tcW w:w="9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C5FB23">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52.58-52.89</w:t>
            </w:r>
          </w:p>
        </w:tc>
        <w:tc>
          <w:tcPr>
            <w:tcW w:w="16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D2F562">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一室一厅</w:t>
            </w:r>
          </w:p>
        </w:tc>
        <w:tc>
          <w:tcPr>
            <w:tcW w:w="6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3A28A4">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多层</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8FECB9">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无</w:t>
            </w:r>
          </w:p>
        </w:tc>
        <w:tc>
          <w:tcPr>
            <w:tcW w:w="5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FBE4BB">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w:t>
            </w:r>
          </w:p>
        </w:tc>
        <w:tc>
          <w:tcPr>
            <w:tcW w:w="20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1E5CEE">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老310国道与洛常路交叉口东北</w:t>
            </w:r>
          </w:p>
        </w:tc>
      </w:tr>
      <w:tr w14:paraId="0EE8B76F">
        <w:tblPrEx>
          <w:tblCellMar>
            <w:top w:w="0" w:type="dxa"/>
            <w:left w:w="0" w:type="dxa"/>
            <w:bottom w:w="0" w:type="dxa"/>
            <w:right w:w="0" w:type="dxa"/>
          </w:tblCellMar>
        </w:tblPrEx>
        <w:trPr>
          <w:trHeight w:val="400" w:hRule="atLeast"/>
        </w:trPr>
        <w:tc>
          <w:tcPr>
            <w:tcW w:w="427" w:type="dxa"/>
            <w:vMerge w:val="continue"/>
            <w:tcBorders>
              <w:left w:val="single" w:color="000000" w:sz="4" w:space="0"/>
              <w:right w:val="single" w:color="000000" w:sz="4" w:space="0"/>
            </w:tcBorders>
            <w:noWrap/>
            <w:tcMar>
              <w:top w:w="15" w:type="dxa"/>
              <w:left w:w="15" w:type="dxa"/>
              <w:right w:w="15" w:type="dxa"/>
            </w:tcMar>
            <w:vAlign w:val="center"/>
          </w:tcPr>
          <w:p w14:paraId="203D4A1E">
            <w:pPr>
              <w:keepNext w:val="0"/>
              <w:keepLines w:val="0"/>
              <w:widowControl/>
              <w:suppressLineNumbers w:val="0"/>
              <w:jc w:val="center"/>
              <w:textAlignment w:val="center"/>
              <w:rPr>
                <w:rFonts w:hint="eastAsia" w:ascii="宋体" w:hAnsi="宋体" w:eastAsia="宋体" w:cs="宋体"/>
                <w:b/>
                <w:i w:val="0"/>
                <w:color w:val="000000"/>
                <w:kern w:val="0"/>
                <w:sz w:val="13"/>
                <w:szCs w:val="13"/>
                <w:u w:val="none"/>
                <w:lang w:val="en-US" w:eastAsia="zh-CN" w:bidi="ar"/>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447E1B">
            <w:pPr>
              <w:keepNext w:val="0"/>
              <w:keepLines w:val="0"/>
              <w:widowControl/>
              <w:suppressLineNumbers w:val="0"/>
              <w:jc w:val="center"/>
              <w:textAlignment w:val="center"/>
              <w:rPr>
                <w:rFonts w:hint="eastAsia" w:ascii="宋体" w:hAnsi="宋体" w:eastAsia="宋体" w:cs="宋体"/>
                <w:b/>
                <w:i w:val="0"/>
                <w:color w:val="000000"/>
                <w:kern w:val="2"/>
                <w:sz w:val="13"/>
                <w:szCs w:val="13"/>
                <w:u w:val="none"/>
                <w:lang w:val="en-US" w:eastAsia="zh-CN" w:bidi="ar-SA"/>
              </w:rPr>
            </w:pPr>
            <w:r>
              <w:rPr>
                <w:rFonts w:hint="eastAsia" w:ascii="宋体" w:hAnsi="宋体" w:eastAsia="宋体" w:cs="宋体"/>
                <w:b/>
                <w:i w:val="0"/>
                <w:color w:val="000000"/>
                <w:kern w:val="0"/>
                <w:sz w:val="13"/>
                <w:szCs w:val="13"/>
                <w:u w:val="none"/>
                <w:lang w:val="en-US" w:eastAsia="zh-CN" w:bidi="ar"/>
              </w:rPr>
              <w:t>绿洲花园（原周山新城）</w:t>
            </w:r>
          </w:p>
        </w:tc>
        <w:tc>
          <w:tcPr>
            <w:tcW w:w="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78D176">
            <w:pPr>
              <w:keepNext w:val="0"/>
              <w:keepLines w:val="0"/>
              <w:widowControl/>
              <w:suppressLineNumbers w:val="0"/>
              <w:jc w:val="center"/>
              <w:textAlignment w:val="center"/>
              <w:rPr>
                <w:rFonts w:hint="eastAsia" w:ascii="宋体" w:hAnsi="宋体" w:eastAsia="宋体" w:cs="宋体"/>
                <w:b/>
                <w:i w:val="0"/>
                <w:color w:val="000000"/>
                <w:kern w:val="2"/>
                <w:sz w:val="13"/>
                <w:szCs w:val="13"/>
                <w:u w:val="none"/>
                <w:lang w:val="en-US" w:eastAsia="zh-CN" w:bidi="ar-SA"/>
              </w:rPr>
            </w:pPr>
            <w:r>
              <w:rPr>
                <w:rFonts w:hint="eastAsia" w:ascii="宋体" w:hAnsi="宋体" w:eastAsia="宋体" w:cs="宋体"/>
                <w:b/>
                <w:i w:val="0"/>
                <w:color w:val="000000"/>
                <w:kern w:val="0"/>
                <w:sz w:val="13"/>
                <w:szCs w:val="13"/>
                <w:u w:val="none"/>
                <w:lang w:val="en-US" w:eastAsia="zh-CN" w:bidi="ar"/>
              </w:rPr>
              <w:t>824</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395D4B">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42-54.08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46C9E">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一室、一室一厅</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E6D045">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高层</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0F2E7">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气、暖</w:t>
            </w:r>
          </w:p>
        </w:tc>
        <w:tc>
          <w:tcPr>
            <w:tcW w:w="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0E117">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9</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674509">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龙鳞路与孙石路交叉口东南</w:t>
            </w:r>
          </w:p>
        </w:tc>
      </w:tr>
      <w:tr w14:paraId="10721B9C">
        <w:tblPrEx>
          <w:tblCellMar>
            <w:top w:w="0" w:type="dxa"/>
            <w:left w:w="0" w:type="dxa"/>
            <w:bottom w:w="0" w:type="dxa"/>
            <w:right w:w="0" w:type="dxa"/>
          </w:tblCellMar>
        </w:tblPrEx>
        <w:trPr>
          <w:trHeight w:val="364" w:hRule="atLeast"/>
        </w:trPr>
        <w:tc>
          <w:tcPr>
            <w:tcW w:w="42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597E5C">
            <w:pPr>
              <w:jc w:val="center"/>
              <w:rPr>
                <w:rFonts w:hint="eastAsia" w:ascii="宋体" w:hAnsi="宋体" w:eastAsia="宋体" w:cs="宋体"/>
                <w:b/>
                <w:i w:val="0"/>
                <w:color w:val="000000"/>
                <w:sz w:val="13"/>
                <w:szCs w:val="13"/>
                <w:u w:val="none"/>
              </w:rPr>
            </w:pPr>
          </w:p>
        </w:tc>
        <w:tc>
          <w:tcPr>
            <w:tcW w:w="15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ED4DAA">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弘伊佳苑（原中信小区）</w:t>
            </w:r>
          </w:p>
        </w:tc>
        <w:tc>
          <w:tcPr>
            <w:tcW w:w="5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E33A35">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786</w:t>
            </w:r>
          </w:p>
        </w:tc>
        <w:tc>
          <w:tcPr>
            <w:tcW w:w="9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25B8D9">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46.86-47.55</w:t>
            </w:r>
          </w:p>
        </w:tc>
        <w:tc>
          <w:tcPr>
            <w:tcW w:w="16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224679">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一室一厅、两室</w:t>
            </w:r>
          </w:p>
        </w:tc>
        <w:tc>
          <w:tcPr>
            <w:tcW w:w="6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1A0D91">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多层</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EFB2B4">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无</w:t>
            </w:r>
          </w:p>
        </w:tc>
        <w:tc>
          <w:tcPr>
            <w:tcW w:w="5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CEFA6D">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7</w:t>
            </w:r>
          </w:p>
        </w:tc>
        <w:tc>
          <w:tcPr>
            <w:tcW w:w="20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8E9636">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瀍河区中窑村委会北</w:t>
            </w:r>
          </w:p>
        </w:tc>
      </w:tr>
      <w:tr w14:paraId="3C9C7B25">
        <w:tblPrEx>
          <w:tblCellMar>
            <w:top w:w="0" w:type="dxa"/>
            <w:left w:w="0" w:type="dxa"/>
            <w:bottom w:w="0" w:type="dxa"/>
            <w:right w:w="0" w:type="dxa"/>
          </w:tblCellMar>
        </w:tblPrEx>
        <w:trPr>
          <w:trHeight w:val="422" w:hRule="atLeast"/>
        </w:trPr>
        <w:tc>
          <w:tcPr>
            <w:tcW w:w="42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CCFF9D">
            <w:pPr>
              <w:jc w:val="center"/>
              <w:rPr>
                <w:rFonts w:hint="eastAsia" w:ascii="宋体" w:hAnsi="宋体" w:eastAsia="宋体" w:cs="宋体"/>
                <w:b/>
                <w:i w:val="0"/>
                <w:color w:val="000000"/>
                <w:sz w:val="13"/>
                <w:szCs w:val="13"/>
                <w:u w:val="none"/>
              </w:rPr>
            </w:pPr>
          </w:p>
        </w:tc>
        <w:tc>
          <w:tcPr>
            <w:tcW w:w="15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41B127">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紫云花园</w:t>
            </w:r>
          </w:p>
        </w:tc>
        <w:tc>
          <w:tcPr>
            <w:tcW w:w="5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3E10E4">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528</w:t>
            </w:r>
          </w:p>
        </w:tc>
        <w:tc>
          <w:tcPr>
            <w:tcW w:w="9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D587FB">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49.92-50.12</w:t>
            </w:r>
          </w:p>
        </w:tc>
        <w:tc>
          <w:tcPr>
            <w:tcW w:w="16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ABAE07">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两室一厅</w:t>
            </w:r>
          </w:p>
        </w:tc>
        <w:tc>
          <w:tcPr>
            <w:tcW w:w="6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DCBB4F">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多层</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AB4FF8">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天然气</w:t>
            </w:r>
          </w:p>
        </w:tc>
        <w:tc>
          <w:tcPr>
            <w:tcW w:w="5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1DA0A9">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7</w:t>
            </w:r>
          </w:p>
        </w:tc>
        <w:tc>
          <w:tcPr>
            <w:tcW w:w="20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0E75AF">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瀍河区北盟路17号</w:t>
            </w:r>
          </w:p>
        </w:tc>
      </w:tr>
      <w:tr w14:paraId="2737BE6C">
        <w:tblPrEx>
          <w:tblCellMar>
            <w:top w:w="0" w:type="dxa"/>
            <w:left w:w="0" w:type="dxa"/>
            <w:bottom w:w="0" w:type="dxa"/>
            <w:right w:w="0" w:type="dxa"/>
          </w:tblCellMar>
        </w:tblPrEx>
        <w:trPr>
          <w:trHeight w:val="439" w:hRule="atLeast"/>
        </w:trPr>
        <w:tc>
          <w:tcPr>
            <w:tcW w:w="42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976C77">
            <w:pPr>
              <w:jc w:val="center"/>
              <w:rPr>
                <w:rFonts w:hint="eastAsia" w:ascii="宋体" w:hAnsi="宋体" w:eastAsia="宋体" w:cs="宋体"/>
                <w:b/>
                <w:i w:val="0"/>
                <w:color w:val="000000"/>
                <w:sz w:val="13"/>
                <w:szCs w:val="13"/>
                <w:u w:val="none"/>
              </w:rPr>
            </w:pPr>
          </w:p>
        </w:tc>
        <w:tc>
          <w:tcPr>
            <w:tcW w:w="15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3A68FB">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阳光富地</w:t>
            </w:r>
          </w:p>
        </w:tc>
        <w:tc>
          <w:tcPr>
            <w:tcW w:w="5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2C0644">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49</w:t>
            </w:r>
          </w:p>
        </w:tc>
        <w:tc>
          <w:tcPr>
            <w:tcW w:w="9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CA9409">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45.88-51.44</w:t>
            </w:r>
          </w:p>
        </w:tc>
        <w:tc>
          <w:tcPr>
            <w:tcW w:w="16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F49519">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一室一厅、两室一厅</w:t>
            </w:r>
          </w:p>
        </w:tc>
        <w:tc>
          <w:tcPr>
            <w:tcW w:w="6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38802C">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多层</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9F14B8">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天然气</w:t>
            </w:r>
          </w:p>
        </w:tc>
        <w:tc>
          <w:tcPr>
            <w:tcW w:w="5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6FE566">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9</w:t>
            </w:r>
          </w:p>
        </w:tc>
        <w:tc>
          <w:tcPr>
            <w:tcW w:w="20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02A81D">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瀍河区启明北路东街8号</w:t>
            </w:r>
          </w:p>
        </w:tc>
      </w:tr>
      <w:tr w14:paraId="3467E53F">
        <w:tblPrEx>
          <w:tblCellMar>
            <w:top w:w="0" w:type="dxa"/>
            <w:left w:w="0" w:type="dxa"/>
            <w:bottom w:w="0" w:type="dxa"/>
            <w:right w:w="0" w:type="dxa"/>
          </w:tblCellMar>
        </w:tblPrEx>
        <w:trPr>
          <w:trHeight w:val="348" w:hRule="atLeast"/>
        </w:trPr>
        <w:tc>
          <w:tcPr>
            <w:tcW w:w="42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B88634">
            <w:pPr>
              <w:jc w:val="center"/>
              <w:rPr>
                <w:rFonts w:hint="eastAsia" w:ascii="宋体" w:hAnsi="宋体" w:eastAsia="宋体" w:cs="宋体"/>
                <w:b/>
                <w:i w:val="0"/>
                <w:color w:val="000000"/>
                <w:sz w:val="13"/>
                <w:szCs w:val="13"/>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C46FD">
            <w:pPr>
              <w:keepNext w:val="0"/>
              <w:keepLines w:val="0"/>
              <w:widowControl/>
              <w:suppressLineNumbers w:val="0"/>
              <w:jc w:val="center"/>
              <w:textAlignment w:val="center"/>
              <w:rPr>
                <w:rFonts w:hint="eastAsia" w:ascii="宋体" w:hAnsi="宋体" w:eastAsia="宋体" w:cs="宋体"/>
                <w:b/>
                <w:i w:val="0"/>
                <w:color w:val="000000"/>
                <w:kern w:val="2"/>
                <w:sz w:val="13"/>
                <w:szCs w:val="13"/>
                <w:u w:val="none"/>
                <w:lang w:val="en-US" w:eastAsia="zh-CN" w:bidi="ar-SA"/>
              </w:rPr>
            </w:pPr>
            <w:r>
              <w:rPr>
                <w:rFonts w:hint="eastAsia" w:ascii="宋体" w:hAnsi="宋体" w:eastAsia="宋体" w:cs="宋体"/>
                <w:b/>
                <w:i w:val="0"/>
                <w:color w:val="000000"/>
                <w:kern w:val="0"/>
                <w:sz w:val="13"/>
                <w:szCs w:val="13"/>
                <w:u w:val="none"/>
                <w:lang w:val="en-US" w:eastAsia="zh-CN" w:bidi="ar"/>
              </w:rPr>
              <w:t>汉宫花苑</w:t>
            </w:r>
          </w:p>
        </w:tc>
        <w:tc>
          <w:tcPr>
            <w:tcW w:w="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12258B">
            <w:pPr>
              <w:keepNext w:val="0"/>
              <w:keepLines w:val="0"/>
              <w:widowControl/>
              <w:suppressLineNumbers w:val="0"/>
              <w:jc w:val="center"/>
              <w:textAlignment w:val="center"/>
              <w:rPr>
                <w:rFonts w:hint="eastAsia" w:ascii="宋体" w:hAnsi="宋体" w:eastAsia="宋体" w:cs="宋体"/>
                <w:b/>
                <w:i w:val="0"/>
                <w:color w:val="000000"/>
                <w:kern w:val="2"/>
                <w:sz w:val="13"/>
                <w:szCs w:val="13"/>
                <w:u w:val="none"/>
                <w:lang w:val="en-US" w:eastAsia="zh-CN" w:bidi="ar-SA"/>
              </w:rPr>
            </w:pPr>
            <w:r>
              <w:rPr>
                <w:rFonts w:hint="eastAsia" w:ascii="宋体" w:hAnsi="宋体" w:eastAsia="宋体" w:cs="宋体"/>
                <w:b/>
                <w:i w:val="0"/>
                <w:color w:val="000000"/>
                <w:kern w:val="0"/>
                <w:sz w:val="13"/>
                <w:szCs w:val="13"/>
                <w:u w:val="none"/>
                <w:lang w:val="en-US" w:eastAsia="zh-CN" w:bidi="ar"/>
              </w:rPr>
              <w:t>200</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46AA0">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38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13E4FB">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一室</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289198">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高层</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DFAD98">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天然气</w:t>
            </w:r>
          </w:p>
        </w:tc>
        <w:tc>
          <w:tcPr>
            <w:tcW w:w="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9F2A5B">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8</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3C766">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西工区汉宫路</w:t>
            </w:r>
          </w:p>
        </w:tc>
      </w:tr>
      <w:tr w14:paraId="77F3C473">
        <w:tblPrEx>
          <w:tblCellMar>
            <w:top w:w="0" w:type="dxa"/>
            <w:left w:w="0" w:type="dxa"/>
            <w:bottom w:w="0" w:type="dxa"/>
            <w:right w:w="0" w:type="dxa"/>
          </w:tblCellMar>
        </w:tblPrEx>
        <w:trPr>
          <w:trHeight w:val="374" w:hRule="atLeast"/>
        </w:trPr>
        <w:tc>
          <w:tcPr>
            <w:tcW w:w="42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C918FD">
            <w:pPr>
              <w:jc w:val="center"/>
              <w:rPr>
                <w:rFonts w:hint="eastAsia" w:ascii="宋体" w:hAnsi="宋体" w:eastAsia="宋体" w:cs="宋体"/>
                <w:b/>
                <w:i w:val="0"/>
                <w:color w:val="000000"/>
                <w:sz w:val="13"/>
                <w:szCs w:val="13"/>
                <w:u w:val="none"/>
              </w:rPr>
            </w:pPr>
          </w:p>
        </w:tc>
        <w:tc>
          <w:tcPr>
            <w:tcW w:w="15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8AF5C5">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旭升花园</w:t>
            </w:r>
          </w:p>
        </w:tc>
        <w:tc>
          <w:tcPr>
            <w:tcW w:w="5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1AB952">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12</w:t>
            </w:r>
          </w:p>
        </w:tc>
        <w:tc>
          <w:tcPr>
            <w:tcW w:w="9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5F4136">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55.11</w:t>
            </w:r>
          </w:p>
        </w:tc>
        <w:tc>
          <w:tcPr>
            <w:tcW w:w="16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C1237F">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一室一厅</w:t>
            </w:r>
          </w:p>
        </w:tc>
        <w:tc>
          <w:tcPr>
            <w:tcW w:w="6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3DA649">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多层</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648426">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天然气</w:t>
            </w:r>
          </w:p>
        </w:tc>
        <w:tc>
          <w:tcPr>
            <w:tcW w:w="5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4AFC59">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9</w:t>
            </w:r>
          </w:p>
        </w:tc>
        <w:tc>
          <w:tcPr>
            <w:tcW w:w="20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0729B1">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瀍河区熙春东路39号</w:t>
            </w:r>
          </w:p>
        </w:tc>
      </w:tr>
      <w:tr w14:paraId="3D9E06B3">
        <w:tblPrEx>
          <w:tblCellMar>
            <w:top w:w="0" w:type="dxa"/>
            <w:left w:w="0" w:type="dxa"/>
            <w:bottom w:w="0" w:type="dxa"/>
            <w:right w:w="0" w:type="dxa"/>
          </w:tblCellMar>
        </w:tblPrEx>
        <w:trPr>
          <w:trHeight w:val="456" w:hRule="atLeast"/>
        </w:trPr>
        <w:tc>
          <w:tcPr>
            <w:tcW w:w="42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57C15E">
            <w:pPr>
              <w:jc w:val="center"/>
              <w:rPr>
                <w:rFonts w:hint="eastAsia" w:ascii="宋体" w:hAnsi="宋体" w:eastAsia="宋体" w:cs="宋体"/>
                <w:b/>
                <w:i w:val="0"/>
                <w:color w:val="000000"/>
                <w:sz w:val="13"/>
                <w:szCs w:val="13"/>
                <w:u w:val="none"/>
              </w:rPr>
            </w:pPr>
          </w:p>
        </w:tc>
        <w:tc>
          <w:tcPr>
            <w:tcW w:w="15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969D7B">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白马城邦</w:t>
            </w:r>
          </w:p>
        </w:tc>
        <w:tc>
          <w:tcPr>
            <w:tcW w:w="5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8A0436">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828</w:t>
            </w:r>
          </w:p>
        </w:tc>
        <w:tc>
          <w:tcPr>
            <w:tcW w:w="9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135629">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43.98-49.95</w:t>
            </w:r>
          </w:p>
        </w:tc>
        <w:tc>
          <w:tcPr>
            <w:tcW w:w="16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B8F0DB">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一室、一室一厅、两室一厅</w:t>
            </w:r>
          </w:p>
        </w:tc>
        <w:tc>
          <w:tcPr>
            <w:tcW w:w="6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448213">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多层</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470424">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天然气</w:t>
            </w:r>
          </w:p>
        </w:tc>
        <w:tc>
          <w:tcPr>
            <w:tcW w:w="5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72719D">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w:t>
            </w:r>
          </w:p>
        </w:tc>
        <w:tc>
          <w:tcPr>
            <w:tcW w:w="20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B74BFE">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310国道与荣康路东北</w:t>
            </w:r>
          </w:p>
        </w:tc>
      </w:tr>
      <w:tr w14:paraId="2ACBFD46">
        <w:tblPrEx>
          <w:tblCellMar>
            <w:top w:w="0" w:type="dxa"/>
            <w:left w:w="0" w:type="dxa"/>
            <w:bottom w:w="0" w:type="dxa"/>
            <w:right w:w="0" w:type="dxa"/>
          </w:tblCellMar>
        </w:tblPrEx>
        <w:trPr>
          <w:trHeight w:val="540" w:hRule="atLeast"/>
        </w:trPr>
        <w:tc>
          <w:tcPr>
            <w:tcW w:w="427"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20B66911">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老     城     区</w:t>
            </w:r>
          </w:p>
        </w:tc>
        <w:tc>
          <w:tcPr>
            <w:tcW w:w="15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C9F76E">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中电阳光亲水湾</w:t>
            </w:r>
          </w:p>
        </w:tc>
        <w:tc>
          <w:tcPr>
            <w:tcW w:w="5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BAA433">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820</w:t>
            </w:r>
          </w:p>
        </w:tc>
        <w:tc>
          <w:tcPr>
            <w:tcW w:w="9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178F26">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40.88-52.35</w:t>
            </w:r>
          </w:p>
        </w:tc>
        <w:tc>
          <w:tcPr>
            <w:tcW w:w="16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1BC060">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一室、一室一厅、两室一厅</w:t>
            </w:r>
          </w:p>
        </w:tc>
        <w:tc>
          <w:tcPr>
            <w:tcW w:w="6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325B63">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多层</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ADB5BF">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天然气</w:t>
            </w:r>
          </w:p>
        </w:tc>
        <w:tc>
          <w:tcPr>
            <w:tcW w:w="5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56E785">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8</w:t>
            </w:r>
          </w:p>
        </w:tc>
        <w:tc>
          <w:tcPr>
            <w:tcW w:w="20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EDDC87">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琴书路与经四路交叉口东南角</w:t>
            </w:r>
          </w:p>
        </w:tc>
      </w:tr>
      <w:tr w14:paraId="2C2CC027">
        <w:tblPrEx>
          <w:tblCellMar>
            <w:top w:w="0" w:type="dxa"/>
            <w:left w:w="0" w:type="dxa"/>
            <w:bottom w:w="0" w:type="dxa"/>
            <w:right w:w="0" w:type="dxa"/>
          </w:tblCellMar>
        </w:tblPrEx>
        <w:trPr>
          <w:trHeight w:val="372" w:hRule="atLeast"/>
        </w:trPr>
        <w:tc>
          <w:tcPr>
            <w:tcW w:w="427" w:type="dxa"/>
            <w:vMerge w:val="continue"/>
            <w:tcBorders>
              <w:left w:val="single" w:color="000000" w:sz="4" w:space="0"/>
              <w:right w:val="single" w:color="000000" w:sz="4" w:space="0"/>
            </w:tcBorders>
            <w:noWrap/>
            <w:tcMar>
              <w:top w:w="15" w:type="dxa"/>
              <w:left w:w="15" w:type="dxa"/>
              <w:right w:w="15" w:type="dxa"/>
            </w:tcMar>
            <w:vAlign w:val="center"/>
          </w:tcPr>
          <w:p w14:paraId="56F553A1">
            <w:pPr>
              <w:jc w:val="center"/>
              <w:rPr>
                <w:rFonts w:hint="eastAsia" w:ascii="宋体" w:hAnsi="宋体" w:eastAsia="宋体" w:cs="宋体"/>
                <w:b/>
                <w:i w:val="0"/>
                <w:color w:val="000000"/>
                <w:sz w:val="13"/>
                <w:szCs w:val="13"/>
                <w:u w:val="none"/>
              </w:rPr>
            </w:pPr>
          </w:p>
        </w:tc>
        <w:tc>
          <w:tcPr>
            <w:tcW w:w="15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653CA8">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中电阳光碧水湾</w:t>
            </w:r>
          </w:p>
        </w:tc>
        <w:tc>
          <w:tcPr>
            <w:tcW w:w="5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AD816B">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384</w:t>
            </w:r>
          </w:p>
        </w:tc>
        <w:tc>
          <w:tcPr>
            <w:tcW w:w="9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BC4E71">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36.74-52.54</w:t>
            </w:r>
          </w:p>
        </w:tc>
        <w:tc>
          <w:tcPr>
            <w:tcW w:w="16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A606A5">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一室、一室一厅</w:t>
            </w:r>
          </w:p>
        </w:tc>
        <w:tc>
          <w:tcPr>
            <w:tcW w:w="6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432CD3">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多层</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1424C8">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天然气</w:t>
            </w:r>
          </w:p>
        </w:tc>
        <w:tc>
          <w:tcPr>
            <w:tcW w:w="5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22EFB3">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8</w:t>
            </w:r>
          </w:p>
        </w:tc>
        <w:tc>
          <w:tcPr>
            <w:tcW w:w="20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D98588">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魏紫路与经四路交叉口东北角</w:t>
            </w:r>
          </w:p>
        </w:tc>
      </w:tr>
      <w:tr w14:paraId="4B578046">
        <w:tblPrEx>
          <w:tblCellMar>
            <w:top w:w="0" w:type="dxa"/>
            <w:left w:w="0" w:type="dxa"/>
            <w:bottom w:w="0" w:type="dxa"/>
            <w:right w:w="0" w:type="dxa"/>
          </w:tblCellMar>
        </w:tblPrEx>
        <w:trPr>
          <w:trHeight w:val="90" w:hRule="atLeast"/>
        </w:trPr>
        <w:tc>
          <w:tcPr>
            <w:tcW w:w="427" w:type="dxa"/>
            <w:vMerge w:val="continue"/>
            <w:tcBorders>
              <w:left w:val="single" w:color="000000" w:sz="4" w:space="0"/>
              <w:right w:val="single" w:color="000000" w:sz="4" w:space="0"/>
            </w:tcBorders>
            <w:noWrap/>
            <w:tcMar>
              <w:top w:w="15" w:type="dxa"/>
              <w:left w:w="15" w:type="dxa"/>
              <w:right w:w="15" w:type="dxa"/>
            </w:tcMar>
            <w:vAlign w:val="center"/>
          </w:tcPr>
          <w:p w14:paraId="5F2ADE07">
            <w:pPr>
              <w:jc w:val="center"/>
              <w:rPr>
                <w:rFonts w:hint="eastAsia" w:ascii="宋体" w:hAnsi="宋体" w:eastAsia="宋体" w:cs="宋体"/>
                <w:b/>
                <w:i w:val="0"/>
                <w:color w:val="000000"/>
                <w:sz w:val="13"/>
                <w:szCs w:val="13"/>
                <w:u w:val="none"/>
              </w:rPr>
            </w:pPr>
          </w:p>
        </w:tc>
        <w:tc>
          <w:tcPr>
            <w:tcW w:w="15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DA110A">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明阳佳苑（富阳佳苑）</w:t>
            </w:r>
          </w:p>
        </w:tc>
        <w:tc>
          <w:tcPr>
            <w:tcW w:w="5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C7FB00">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360</w:t>
            </w:r>
          </w:p>
        </w:tc>
        <w:tc>
          <w:tcPr>
            <w:tcW w:w="9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F3A5E4">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35.86-49.83</w:t>
            </w:r>
          </w:p>
        </w:tc>
        <w:tc>
          <w:tcPr>
            <w:tcW w:w="16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A521EE">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一室、一室一厅</w:t>
            </w:r>
          </w:p>
        </w:tc>
        <w:tc>
          <w:tcPr>
            <w:tcW w:w="6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B58820">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多层</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51B271">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天然气</w:t>
            </w:r>
          </w:p>
        </w:tc>
        <w:tc>
          <w:tcPr>
            <w:tcW w:w="5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D24693">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8</w:t>
            </w:r>
          </w:p>
        </w:tc>
        <w:tc>
          <w:tcPr>
            <w:tcW w:w="20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E37118">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状元红路与国花路交叉口东北角</w:t>
            </w:r>
          </w:p>
        </w:tc>
      </w:tr>
      <w:tr w14:paraId="003A1817">
        <w:tblPrEx>
          <w:tblCellMar>
            <w:top w:w="0" w:type="dxa"/>
            <w:left w:w="0" w:type="dxa"/>
            <w:bottom w:w="0" w:type="dxa"/>
            <w:right w:w="0" w:type="dxa"/>
          </w:tblCellMar>
        </w:tblPrEx>
        <w:trPr>
          <w:trHeight w:val="457" w:hRule="atLeast"/>
        </w:trPr>
        <w:tc>
          <w:tcPr>
            <w:tcW w:w="427" w:type="dxa"/>
            <w:vMerge w:val="continue"/>
            <w:tcBorders>
              <w:left w:val="single" w:color="000000" w:sz="4" w:space="0"/>
              <w:right w:val="single" w:color="000000" w:sz="4" w:space="0"/>
            </w:tcBorders>
            <w:noWrap/>
            <w:tcMar>
              <w:top w:w="15" w:type="dxa"/>
              <w:left w:w="15" w:type="dxa"/>
              <w:right w:w="15" w:type="dxa"/>
            </w:tcMar>
            <w:vAlign w:val="center"/>
          </w:tcPr>
          <w:p w14:paraId="75D91FC1">
            <w:pPr>
              <w:jc w:val="center"/>
              <w:rPr>
                <w:rFonts w:hint="eastAsia" w:ascii="宋体" w:hAnsi="宋体" w:eastAsia="宋体" w:cs="宋体"/>
                <w:b/>
                <w:i w:val="0"/>
                <w:color w:val="000000"/>
                <w:sz w:val="13"/>
                <w:szCs w:val="13"/>
                <w:u w:val="none"/>
              </w:rPr>
            </w:pPr>
          </w:p>
        </w:tc>
        <w:tc>
          <w:tcPr>
            <w:tcW w:w="15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FF8D30">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中鑫家园</w:t>
            </w:r>
          </w:p>
        </w:tc>
        <w:tc>
          <w:tcPr>
            <w:tcW w:w="5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FB0FB0">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500</w:t>
            </w:r>
          </w:p>
        </w:tc>
        <w:tc>
          <w:tcPr>
            <w:tcW w:w="9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A0F19B">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62.79-64.21</w:t>
            </w:r>
          </w:p>
        </w:tc>
        <w:tc>
          <w:tcPr>
            <w:tcW w:w="16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9DB84D">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一室一厅</w:t>
            </w:r>
          </w:p>
        </w:tc>
        <w:tc>
          <w:tcPr>
            <w:tcW w:w="6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4997C9">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高层</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6168AB">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气、暖</w:t>
            </w:r>
          </w:p>
        </w:tc>
        <w:tc>
          <w:tcPr>
            <w:tcW w:w="5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CB1F97">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8</w:t>
            </w:r>
          </w:p>
        </w:tc>
        <w:tc>
          <w:tcPr>
            <w:tcW w:w="20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CDA5DD">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魏紫路与经三路交叉口西南角</w:t>
            </w:r>
          </w:p>
        </w:tc>
      </w:tr>
      <w:tr w14:paraId="35240875">
        <w:tblPrEx>
          <w:tblCellMar>
            <w:top w:w="0" w:type="dxa"/>
            <w:left w:w="0" w:type="dxa"/>
            <w:bottom w:w="0" w:type="dxa"/>
            <w:right w:w="0" w:type="dxa"/>
          </w:tblCellMar>
        </w:tblPrEx>
        <w:trPr>
          <w:trHeight w:val="406" w:hRule="atLeast"/>
        </w:trPr>
        <w:tc>
          <w:tcPr>
            <w:tcW w:w="427"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86A73A">
            <w:pPr>
              <w:jc w:val="center"/>
              <w:rPr>
                <w:rFonts w:hint="eastAsia" w:ascii="宋体" w:hAnsi="宋体" w:eastAsia="宋体" w:cs="宋体"/>
                <w:b/>
                <w:i w:val="0"/>
                <w:color w:val="000000"/>
                <w:sz w:val="13"/>
                <w:szCs w:val="13"/>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CF69E8">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中电阳光23号楼</w:t>
            </w:r>
          </w:p>
        </w:tc>
        <w:tc>
          <w:tcPr>
            <w:tcW w:w="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29F504">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416</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91F3D9">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41.77-58.93</w:t>
            </w:r>
          </w:p>
        </w:tc>
        <w:tc>
          <w:tcPr>
            <w:tcW w:w="16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C34A784">
            <w:pPr>
              <w:keepNext w:val="0"/>
              <w:keepLines w:val="0"/>
              <w:widowControl/>
              <w:suppressLineNumbers w:val="0"/>
              <w:jc w:val="center"/>
              <w:textAlignment w:val="center"/>
              <w:rPr>
                <w:rFonts w:hint="eastAsia" w:ascii="宋体" w:hAnsi="宋体" w:eastAsia="宋体" w:cs="宋体"/>
                <w:i w:val="0"/>
                <w:color w:val="000000"/>
                <w:kern w:val="0"/>
                <w:sz w:val="13"/>
                <w:szCs w:val="13"/>
                <w:u w:val="none"/>
                <w:lang w:val="en-US" w:eastAsia="zh-CN" w:bidi="ar"/>
              </w:rPr>
            </w:pPr>
            <w:r>
              <w:rPr>
                <w:rFonts w:hint="eastAsia" w:ascii="宋体" w:hAnsi="宋体" w:eastAsia="宋体" w:cs="宋体"/>
                <w:i w:val="0"/>
                <w:color w:val="000000"/>
                <w:kern w:val="0"/>
                <w:sz w:val="13"/>
                <w:szCs w:val="13"/>
                <w:u w:val="none"/>
                <w:lang w:val="en-US" w:eastAsia="zh-CN" w:bidi="ar"/>
              </w:rPr>
              <w:t>一室、一室一厅</w:t>
            </w:r>
          </w:p>
        </w:tc>
        <w:tc>
          <w:tcPr>
            <w:tcW w:w="6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7C125D">
            <w:pPr>
              <w:keepNext w:val="0"/>
              <w:keepLines w:val="0"/>
              <w:widowControl/>
              <w:suppressLineNumbers w:val="0"/>
              <w:jc w:val="center"/>
              <w:textAlignment w:val="center"/>
              <w:rPr>
                <w:rFonts w:hint="eastAsia" w:ascii="宋体" w:hAnsi="宋体" w:eastAsia="宋体" w:cs="宋体"/>
                <w:i w:val="0"/>
                <w:color w:val="000000"/>
                <w:kern w:val="0"/>
                <w:sz w:val="13"/>
                <w:szCs w:val="13"/>
                <w:u w:val="none"/>
                <w:lang w:val="en-US" w:eastAsia="zh-CN" w:bidi="ar"/>
              </w:rPr>
            </w:pPr>
            <w:r>
              <w:rPr>
                <w:rFonts w:hint="eastAsia" w:ascii="宋体" w:hAnsi="宋体" w:eastAsia="宋体" w:cs="宋体"/>
                <w:i w:val="0"/>
                <w:color w:val="000000"/>
                <w:kern w:val="0"/>
                <w:sz w:val="13"/>
                <w:szCs w:val="13"/>
                <w:u w:val="none"/>
                <w:lang w:val="en-US" w:eastAsia="zh-CN" w:bidi="ar"/>
              </w:rPr>
              <w:t>高层</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D08C3D">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气、暖</w:t>
            </w:r>
          </w:p>
        </w:tc>
        <w:tc>
          <w:tcPr>
            <w:tcW w:w="5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F45DCD">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8</w:t>
            </w:r>
          </w:p>
        </w:tc>
        <w:tc>
          <w:tcPr>
            <w:tcW w:w="20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CF7CBE">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魏紫路与经四路交叉口东北角</w:t>
            </w:r>
          </w:p>
        </w:tc>
      </w:tr>
    </w:tbl>
    <w:p w14:paraId="670127AA">
      <w:pPr>
        <w:jc w:val="center"/>
        <w:rPr>
          <w:rFonts w:hint="eastAsia" w:ascii="宋体" w:hAnsi="宋体" w:eastAsia="宋体" w:cs="宋体"/>
          <w:b/>
          <w:i w:val="0"/>
          <w:color w:val="000000"/>
          <w:sz w:val="13"/>
          <w:szCs w:val="13"/>
          <w:u w:val="none"/>
        </w:rPr>
        <w:sectPr>
          <w:footerReference r:id="rId3" w:type="default"/>
          <w:footerReference r:id="rId4" w:type="even"/>
          <w:pgSz w:w="11906" w:h="16838"/>
          <w:pgMar w:top="1134" w:right="1134" w:bottom="1134" w:left="1134" w:header="851" w:footer="1267" w:gutter="0"/>
          <w:pgBorders>
            <w:top w:val="none" w:sz="0" w:space="0"/>
            <w:left w:val="none" w:sz="0" w:space="0"/>
            <w:bottom w:val="none" w:sz="0" w:space="0"/>
            <w:right w:val="none" w:sz="0" w:space="0"/>
          </w:pgBorders>
          <w:cols w:space="720" w:num="1"/>
          <w:docGrid w:type="lines" w:linePitch="435" w:charSpace="0"/>
        </w:sectPr>
      </w:pPr>
    </w:p>
    <w:tbl>
      <w:tblPr>
        <w:tblStyle w:val="8"/>
        <w:tblW w:w="9064" w:type="dxa"/>
        <w:tblInd w:w="23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67"/>
        <w:gridCol w:w="1247"/>
        <w:gridCol w:w="541"/>
        <w:gridCol w:w="1224"/>
        <w:gridCol w:w="1704"/>
        <w:gridCol w:w="675"/>
        <w:gridCol w:w="792"/>
        <w:gridCol w:w="517"/>
        <w:gridCol w:w="1897"/>
      </w:tblGrid>
      <w:tr w14:paraId="3FEDF43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90" w:hRule="atLeast"/>
        </w:trPr>
        <w:tc>
          <w:tcPr>
            <w:tcW w:w="467" w:type="dxa"/>
            <w:vMerge w:val="restart"/>
            <w:tcBorders>
              <w:bottom w:val="single" w:color="000000" w:sz="4" w:space="0"/>
              <w:right w:val="single" w:color="000000" w:sz="4" w:space="0"/>
            </w:tcBorders>
            <w:noWrap/>
            <w:tcMar>
              <w:top w:w="15" w:type="dxa"/>
              <w:left w:w="15" w:type="dxa"/>
              <w:right w:w="15" w:type="dxa"/>
            </w:tcMar>
            <w:vAlign w:val="center"/>
          </w:tcPr>
          <w:p w14:paraId="1E6D451D">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西       工       区</w:t>
            </w:r>
          </w:p>
        </w:tc>
        <w:tc>
          <w:tcPr>
            <w:tcW w:w="1247" w:type="dxa"/>
            <w:tcBorders>
              <w:left w:val="single" w:color="000000" w:sz="4" w:space="0"/>
              <w:bottom w:val="single" w:color="000000" w:sz="4" w:space="0"/>
              <w:right w:val="single" w:color="000000" w:sz="4" w:space="0"/>
            </w:tcBorders>
            <w:noWrap/>
            <w:tcMar>
              <w:top w:w="15" w:type="dxa"/>
              <w:left w:w="15" w:type="dxa"/>
              <w:right w:w="15" w:type="dxa"/>
            </w:tcMar>
            <w:vAlign w:val="center"/>
          </w:tcPr>
          <w:p w14:paraId="1DF73953">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鹏翔小区</w:t>
            </w:r>
          </w:p>
        </w:tc>
        <w:tc>
          <w:tcPr>
            <w:tcW w:w="541" w:type="dxa"/>
            <w:tcBorders>
              <w:left w:val="single" w:color="000000" w:sz="4" w:space="0"/>
              <w:bottom w:val="single" w:color="000000" w:sz="4" w:space="0"/>
              <w:right w:val="single" w:color="000000" w:sz="4" w:space="0"/>
            </w:tcBorders>
            <w:noWrap/>
            <w:tcMar>
              <w:top w:w="15" w:type="dxa"/>
              <w:left w:w="15" w:type="dxa"/>
              <w:right w:w="15" w:type="dxa"/>
            </w:tcMar>
            <w:vAlign w:val="center"/>
          </w:tcPr>
          <w:p w14:paraId="644FC95A">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403</w:t>
            </w:r>
          </w:p>
        </w:tc>
        <w:tc>
          <w:tcPr>
            <w:tcW w:w="1224" w:type="dxa"/>
            <w:tcBorders>
              <w:left w:val="single" w:color="000000" w:sz="4" w:space="0"/>
              <w:bottom w:val="single" w:color="000000" w:sz="4" w:space="0"/>
              <w:right w:val="single" w:color="000000" w:sz="4" w:space="0"/>
            </w:tcBorders>
            <w:noWrap/>
            <w:tcMar>
              <w:top w:w="15" w:type="dxa"/>
              <w:left w:w="15" w:type="dxa"/>
              <w:right w:w="15" w:type="dxa"/>
            </w:tcMar>
            <w:vAlign w:val="center"/>
          </w:tcPr>
          <w:p w14:paraId="1BBEB6E9">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48.75-52.58</w:t>
            </w:r>
          </w:p>
        </w:tc>
        <w:tc>
          <w:tcPr>
            <w:tcW w:w="1704" w:type="dxa"/>
            <w:tcBorders>
              <w:left w:val="single" w:color="000000" w:sz="4" w:space="0"/>
              <w:bottom w:val="single" w:color="000000" w:sz="4" w:space="0"/>
              <w:right w:val="single" w:color="000000" w:sz="4" w:space="0"/>
            </w:tcBorders>
            <w:noWrap/>
            <w:tcMar>
              <w:top w:w="15" w:type="dxa"/>
              <w:left w:w="15" w:type="dxa"/>
              <w:right w:w="15" w:type="dxa"/>
            </w:tcMar>
            <w:vAlign w:val="center"/>
          </w:tcPr>
          <w:p w14:paraId="501E0D54">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一室一厅</w:t>
            </w:r>
          </w:p>
        </w:tc>
        <w:tc>
          <w:tcPr>
            <w:tcW w:w="675" w:type="dxa"/>
            <w:tcBorders>
              <w:left w:val="single" w:color="000000" w:sz="4" w:space="0"/>
              <w:bottom w:val="single" w:color="000000" w:sz="4" w:space="0"/>
              <w:right w:val="single" w:color="000000" w:sz="4" w:space="0"/>
            </w:tcBorders>
            <w:noWrap/>
            <w:tcMar>
              <w:top w:w="15" w:type="dxa"/>
              <w:left w:w="15" w:type="dxa"/>
              <w:right w:w="15" w:type="dxa"/>
            </w:tcMar>
            <w:vAlign w:val="center"/>
          </w:tcPr>
          <w:p w14:paraId="0047910D">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多层</w:t>
            </w:r>
          </w:p>
        </w:tc>
        <w:tc>
          <w:tcPr>
            <w:tcW w:w="792" w:type="dxa"/>
            <w:tcBorders>
              <w:left w:val="single" w:color="000000" w:sz="4" w:space="0"/>
              <w:bottom w:val="single" w:color="000000" w:sz="4" w:space="0"/>
              <w:right w:val="single" w:color="000000" w:sz="4" w:space="0"/>
            </w:tcBorders>
            <w:noWrap/>
            <w:tcMar>
              <w:top w:w="15" w:type="dxa"/>
              <w:left w:w="15" w:type="dxa"/>
              <w:right w:w="15" w:type="dxa"/>
            </w:tcMar>
            <w:vAlign w:val="center"/>
          </w:tcPr>
          <w:p w14:paraId="772477B1">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天然气</w:t>
            </w:r>
          </w:p>
        </w:tc>
        <w:tc>
          <w:tcPr>
            <w:tcW w:w="517" w:type="dxa"/>
            <w:tcBorders>
              <w:left w:val="single" w:color="000000" w:sz="4" w:space="0"/>
              <w:bottom w:val="single" w:color="000000" w:sz="4" w:space="0"/>
              <w:right w:val="single" w:color="000000" w:sz="4" w:space="0"/>
            </w:tcBorders>
            <w:noWrap/>
            <w:tcMar>
              <w:top w:w="15" w:type="dxa"/>
              <w:left w:w="15" w:type="dxa"/>
              <w:right w:w="15" w:type="dxa"/>
            </w:tcMar>
            <w:vAlign w:val="center"/>
          </w:tcPr>
          <w:p w14:paraId="0EFD4322">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8</w:t>
            </w:r>
          </w:p>
        </w:tc>
        <w:tc>
          <w:tcPr>
            <w:tcW w:w="1897" w:type="dxa"/>
            <w:tcBorders>
              <w:left w:val="single" w:color="000000" w:sz="4" w:space="0"/>
              <w:bottom w:val="single" w:color="000000" w:sz="4" w:space="0"/>
            </w:tcBorders>
            <w:noWrap/>
            <w:tcMar>
              <w:top w:w="15" w:type="dxa"/>
              <w:left w:w="15" w:type="dxa"/>
              <w:right w:w="15" w:type="dxa"/>
            </w:tcMar>
            <w:vAlign w:val="center"/>
          </w:tcPr>
          <w:p w14:paraId="3D4B6F3E">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西工区汉宫路</w:t>
            </w:r>
          </w:p>
        </w:tc>
      </w:tr>
      <w:tr w14:paraId="69B986F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83" w:hRule="atLeast"/>
        </w:trPr>
        <w:tc>
          <w:tcPr>
            <w:tcW w:w="467"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14:paraId="7BCCAF6E">
            <w:pPr>
              <w:jc w:val="center"/>
              <w:rPr>
                <w:rFonts w:hint="eastAsia" w:ascii="宋体" w:hAnsi="宋体" w:eastAsia="宋体" w:cs="宋体"/>
                <w:b/>
                <w:i w:val="0"/>
                <w:color w:val="000000"/>
                <w:sz w:val="13"/>
                <w:szCs w:val="13"/>
                <w:u w:val="none"/>
              </w:rPr>
            </w:pPr>
          </w:p>
        </w:tc>
        <w:tc>
          <w:tcPr>
            <w:tcW w:w="12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092918">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国花宝居</w:t>
            </w:r>
          </w:p>
        </w:tc>
        <w:tc>
          <w:tcPr>
            <w:tcW w:w="5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9908F1">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1126</w:t>
            </w:r>
          </w:p>
        </w:tc>
        <w:tc>
          <w:tcPr>
            <w:tcW w:w="12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FAA0DF">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41.16-50.42</w:t>
            </w:r>
          </w:p>
        </w:tc>
        <w:tc>
          <w:tcPr>
            <w:tcW w:w="17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B62BFA">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一室一厅、两室一厅</w:t>
            </w:r>
          </w:p>
        </w:tc>
        <w:tc>
          <w:tcPr>
            <w:tcW w:w="6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67B443">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高层</w:t>
            </w:r>
          </w:p>
        </w:tc>
        <w:tc>
          <w:tcPr>
            <w:tcW w:w="7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D61ECA">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天然气</w:t>
            </w:r>
          </w:p>
        </w:tc>
        <w:tc>
          <w:tcPr>
            <w:tcW w:w="5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BA7D83">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8</w:t>
            </w:r>
          </w:p>
        </w:tc>
        <w:tc>
          <w:tcPr>
            <w:tcW w:w="1897" w:type="dxa"/>
            <w:tcBorders>
              <w:top w:val="single" w:color="000000" w:sz="4" w:space="0"/>
              <w:left w:val="single" w:color="000000" w:sz="4" w:space="0"/>
              <w:bottom w:val="single" w:color="000000" w:sz="4" w:space="0"/>
            </w:tcBorders>
            <w:noWrap/>
            <w:tcMar>
              <w:top w:w="15" w:type="dxa"/>
              <w:left w:w="15" w:type="dxa"/>
              <w:right w:w="15" w:type="dxa"/>
            </w:tcMar>
            <w:vAlign w:val="center"/>
          </w:tcPr>
          <w:p w14:paraId="6A4365CB">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310国道与华山路交叉口西南角</w:t>
            </w:r>
          </w:p>
        </w:tc>
      </w:tr>
      <w:tr w14:paraId="31D5FD0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50" w:hRule="atLeast"/>
        </w:trPr>
        <w:tc>
          <w:tcPr>
            <w:tcW w:w="467"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14:paraId="155ED2C2">
            <w:pPr>
              <w:jc w:val="center"/>
              <w:rPr>
                <w:rFonts w:hint="eastAsia" w:ascii="宋体" w:hAnsi="宋体" w:eastAsia="宋体" w:cs="宋体"/>
                <w:b/>
                <w:i w:val="0"/>
                <w:color w:val="000000"/>
                <w:sz w:val="13"/>
                <w:szCs w:val="13"/>
                <w:u w:val="none"/>
              </w:rPr>
            </w:pP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C4804">
            <w:pPr>
              <w:keepNext w:val="0"/>
              <w:keepLines w:val="0"/>
              <w:widowControl/>
              <w:suppressLineNumbers w:val="0"/>
              <w:jc w:val="center"/>
              <w:textAlignment w:val="center"/>
              <w:rPr>
                <w:rFonts w:hint="eastAsia" w:ascii="宋体" w:hAnsi="宋体" w:eastAsia="宋体" w:cs="宋体"/>
                <w:b/>
                <w:i w:val="0"/>
                <w:color w:val="000000"/>
                <w:kern w:val="2"/>
                <w:sz w:val="13"/>
                <w:szCs w:val="13"/>
                <w:u w:val="none"/>
                <w:lang w:val="en-US" w:eastAsia="zh-CN" w:bidi="ar-SA"/>
              </w:rPr>
            </w:pPr>
            <w:r>
              <w:rPr>
                <w:rFonts w:hint="eastAsia" w:ascii="宋体" w:hAnsi="宋体" w:eastAsia="宋体" w:cs="宋体"/>
                <w:b/>
                <w:i w:val="0"/>
                <w:color w:val="000000"/>
                <w:kern w:val="0"/>
                <w:sz w:val="13"/>
                <w:szCs w:val="13"/>
                <w:u w:val="none"/>
                <w:lang w:val="en-US" w:eastAsia="zh-CN" w:bidi="ar"/>
              </w:rPr>
              <w:t>怡心苑</w:t>
            </w:r>
          </w:p>
        </w:tc>
        <w:tc>
          <w:tcPr>
            <w:tcW w:w="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EE0AD3">
            <w:pPr>
              <w:keepNext w:val="0"/>
              <w:keepLines w:val="0"/>
              <w:widowControl/>
              <w:suppressLineNumbers w:val="0"/>
              <w:jc w:val="center"/>
              <w:textAlignment w:val="center"/>
              <w:rPr>
                <w:rFonts w:hint="eastAsia" w:ascii="宋体" w:hAnsi="宋体" w:eastAsia="宋体" w:cs="宋体"/>
                <w:b/>
                <w:i w:val="0"/>
                <w:color w:val="000000"/>
                <w:kern w:val="2"/>
                <w:sz w:val="13"/>
                <w:szCs w:val="13"/>
                <w:u w:val="none"/>
                <w:lang w:val="en-US" w:eastAsia="zh-CN" w:bidi="ar-SA"/>
              </w:rPr>
            </w:pPr>
            <w:r>
              <w:rPr>
                <w:rFonts w:hint="eastAsia" w:ascii="宋体" w:hAnsi="宋体" w:eastAsia="宋体" w:cs="宋体"/>
                <w:b/>
                <w:i w:val="0"/>
                <w:color w:val="000000"/>
                <w:kern w:val="0"/>
                <w:sz w:val="13"/>
                <w:szCs w:val="13"/>
                <w:u w:val="none"/>
                <w:lang w:val="en-US" w:eastAsia="zh-CN" w:bidi="ar"/>
              </w:rPr>
              <w:t>96</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9EF87">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35.49-52.11</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59EC2">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一室、一室一厅</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4C97FD">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多层</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40CDE6">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天然气</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C2C6C4">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9</w:t>
            </w:r>
          </w:p>
        </w:tc>
        <w:tc>
          <w:tcPr>
            <w:tcW w:w="1897" w:type="dxa"/>
            <w:tcBorders>
              <w:top w:val="single" w:color="000000" w:sz="4" w:space="0"/>
              <w:left w:val="single" w:color="000000" w:sz="4" w:space="0"/>
              <w:bottom w:val="single" w:color="000000" w:sz="4" w:space="0"/>
            </w:tcBorders>
            <w:shd w:val="clear" w:color="auto" w:fill="auto"/>
            <w:noWrap/>
            <w:tcMar>
              <w:top w:w="15" w:type="dxa"/>
              <w:left w:w="15" w:type="dxa"/>
              <w:right w:w="15" w:type="dxa"/>
            </w:tcMar>
            <w:vAlign w:val="center"/>
          </w:tcPr>
          <w:p w14:paraId="6DF4BE4C">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龙门大道与太康大道交叉口东南</w:t>
            </w:r>
          </w:p>
        </w:tc>
      </w:tr>
      <w:tr w14:paraId="1FF9863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90" w:hRule="atLeast"/>
        </w:trPr>
        <w:tc>
          <w:tcPr>
            <w:tcW w:w="467"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14:paraId="35CD8124">
            <w:pPr>
              <w:jc w:val="center"/>
              <w:rPr>
                <w:rFonts w:hint="eastAsia" w:ascii="宋体" w:hAnsi="宋体" w:eastAsia="宋体" w:cs="宋体"/>
                <w:b/>
                <w:i w:val="0"/>
                <w:color w:val="000000"/>
                <w:sz w:val="13"/>
                <w:szCs w:val="13"/>
                <w:u w:val="none"/>
              </w:rPr>
            </w:pP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3A4829">
            <w:pPr>
              <w:keepNext w:val="0"/>
              <w:keepLines w:val="0"/>
              <w:widowControl/>
              <w:suppressLineNumbers w:val="0"/>
              <w:jc w:val="center"/>
              <w:textAlignment w:val="center"/>
              <w:rPr>
                <w:rFonts w:hint="eastAsia" w:ascii="宋体" w:hAnsi="宋体" w:eastAsia="宋体" w:cs="宋体"/>
                <w:b/>
                <w:i w:val="0"/>
                <w:color w:val="000000"/>
                <w:kern w:val="2"/>
                <w:sz w:val="13"/>
                <w:szCs w:val="13"/>
                <w:u w:val="none"/>
                <w:lang w:val="en-US" w:eastAsia="zh-CN" w:bidi="ar-SA"/>
              </w:rPr>
            </w:pPr>
            <w:r>
              <w:rPr>
                <w:rFonts w:hint="eastAsia" w:ascii="宋体" w:hAnsi="宋体" w:eastAsia="宋体" w:cs="宋体"/>
                <w:b/>
                <w:i w:val="0"/>
                <w:color w:val="000000"/>
                <w:kern w:val="0"/>
                <w:sz w:val="13"/>
                <w:szCs w:val="13"/>
                <w:u w:val="none"/>
                <w:lang w:val="en-US" w:eastAsia="zh-CN" w:bidi="ar"/>
              </w:rPr>
              <w:t>东方光源</w:t>
            </w:r>
          </w:p>
        </w:tc>
        <w:tc>
          <w:tcPr>
            <w:tcW w:w="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68394F">
            <w:pPr>
              <w:keepNext w:val="0"/>
              <w:keepLines w:val="0"/>
              <w:widowControl/>
              <w:suppressLineNumbers w:val="0"/>
              <w:jc w:val="center"/>
              <w:textAlignment w:val="center"/>
              <w:rPr>
                <w:rFonts w:hint="eastAsia" w:ascii="宋体" w:hAnsi="宋体" w:eastAsia="宋体" w:cs="宋体"/>
                <w:b/>
                <w:i w:val="0"/>
                <w:color w:val="000000"/>
                <w:kern w:val="2"/>
                <w:sz w:val="13"/>
                <w:szCs w:val="13"/>
                <w:u w:val="none"/>
                <w:lang w:val="en-US" w:eastAsia="zh-CN" w:bidi="ar-SA"/>
              </w:rPr>
            </w:pPr>
            <w:r>
              <w:rPr>
                <w:rFonts w:hint="eastAsia" w:ascii="宋体" w:hAnsi="宋体" w:eastAsia="宋体" w:cs="宋体"/>
                <w:b/>
                <w:i w:val="0"/>
                <w:color w:val="000000"/>
                <w:kern w:val="0"/>
                <w:sz w:val="13"/>
                <w:szCs w:val="13"/>
                <w:u w:val="none"/>
                <w:lang w:val="en-US" w:eastAsia="zh-CN" w:bidi="ar"/>
              </w:rPr>
              <w:t>1012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E391C1">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58</w:t>
            </w:r>
          </w:p>
        </w:tc>
        <w:tc>
          <w:tcPr>
            <w:tcW w:w="170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94CC5E3">
            <w:pPr>
              <w:keepNext w:val="0"/>
              <w:keepLines w:val="0"/>
              <w:widowControl/>
              <w:suppressLineNumbers w:val="0"/>
              <w:jc w:val="center"/>
              <w:textAlignment w:val="center"/>
              <w:rPr>
                <w:rFonts w:hint="eastAsia" w:ascii="宋体" w:hAnsi="宋体" w:eastAsia="宋体" w:cs="宋体"/>
                <w:i w:val="0"/>
                <w:color w:val="000000"/>
                <w:kern w:val="0"/>
                <w:sz w:val="13"/>
                <w:szCs w:val="13"/>
                <w:u w:val="none"/>
                <w:lang w:val="en-US" w:eastAsia="zh-CN" w:bidi="ar"/>
              </w:rPr>
            </w:pPr>
            <w:r>
              <w:rPr>
                <w:rFonts w:hint="eastAsia" w:ascii="宋体" w:hAnsi="宋体" w:eastAsia="宋体" w:cs="宋体"/>
                <w:i w:val="0"/>
                <w:color w:val="000000"/>
                <w:kern w:val="0"/>
                <w:sz w:val="13"/>
                <w:szCs w:val="13"/>
                <w:u w:val="none"/>
                <w:lang w:val="en-US" w:eastAsia="zh-CN" w:bidi="ar"/>
              </w:rPr>
              <w:t>两室一厅</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59002">
            <w:pPr>
              <w:keepNext w:val="0"/>
              <w:keepLines w:val="0"/>
              <w:widowControl/>
              <w:suppressLineNumbers w:val="0"/>
              <w:jc w:val="center"/>
              <w:textAlignment w:val="center"/>
              <w:rPr>
                <w:rFonts w:hint="eastAsia" w:ascii="宋体" w:hAnsi="宋体" w:eastAsia="宋体" w:cs="宋体"/>
                <w:i w:val="0"/>
                <w:color w:val="000000"/>
                <w:kern w:val="0"/>
                <w:sz w:val="13"/>
                <w:szCs w:val="13"/>
                <w:u w:val="none"/>
                <w:lang w:val="en-US" w:eastAsia="zh-CN" w:bidi="ar"/>
              </w:rPr>
            </w:pPr>
            <w:r>
              <w:rPr>
                <w:rFonts w:hint="eastAsia" w:ascii="宋体" w:hAnsi="宋体" w:eastAsia="宋体" w:cs="宋体"/>
                <w:i w:val="0"/>
                <w:color w:val="000000"/>
                <w:kern w:val="0"/>
                <w:sz w:val="13"/>
                <w:szCs w:val="13"/>
                <w:u w:val="none"/>
                <w:lang w:val="en-US" w:eastAsia="zh-CN" w:bidi="ar"/>
              </w:rPr>
              <w:t>高层</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58A951">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气、暖</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5919B5">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8</w:t>
            </w:r>
          </w:p>
        </w:tc>
        <w:tc>
          <w:tcPr>
            <w:tcW w:w="1897" w:type="dxa"/>
            <w:tcBorders>
              <w:top w:val="single" w:color="000000" w:sz="4" w:space="0"/>
              <w:left w:val="single" w:color="000000" w:sz="4" w:space="0"/>
              <w:bottom w:val="single" w:color="000000" w:sz="4" w:space="0"/>
            </w:tcBorders>
            <w:shd w:val="clear" w:color="auto" w:fill="auto"/>
            <w:noWrap/>
            <w:tcMar>
              <w:top w:w="15" w:type="dxa"/>
              <w:left w:w="15" w:type="dxa"/>
              <w:right w:w="15" w:type="dxa"/>
            </w:tcMar>
            <w:vAlign w:val="center"/>
          </w:tcPr>
          <w:p w14:paraId="4FF3FF2F">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老310国道与华山路交叉口东北</w:t>
            </w:r>
          </w:p>
        </w:tc>
      </w:tr>
      <w:tr w14:paraId="670312A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99" w:hRule="atLeast"/>
        </w:trPr>
        <w:tc>
          <w:tcPr>
            <w:tcW w:w="467" w:type="dxa"/>
            <w:vMerge w:val="restart"/>
            <w:tcBorders>
              <w:top w:val="single" w:color="000000" w:sz="4" w:space="0"/>
              <w:bottom w:val="single" w:color="000000" w:sz="4" w:space="0"/>
              <w:right w:val="single" w:color="000000" w:sz="4" w:space="0"/>
            </w:tcBorders>
            <w:noWrap/>
            <w:tcMar>
              <w:top w:w="15" w:type="dxa"/>
              <w:left w:w="15" w:type="dxa"/>
              <w:right w:w="15" w:type="dxa"/>
            </w:tcMar>
            <w:vAlign w:val="center"/>
          </w:tcPr>
          <w:p w14:paraId="48ED92B7">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涧   西   区</w:t>
            </w:r>
          </w:p>
        </w:tc>
        <w:tc>
          <w:tcPr>
            <w:tcW w:w="12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D07E6B">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江南绿苑</w:t>
            </w:r>
          </w:p>
        </w:tc>
        <w:tc>
          <w:tcPr>
            <w:tcW w:w="5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514DCD">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216</w:t>
            </w:r>
          </w:p>
        </w:tc>
        <w:tc>
          <w:tcPr>
            <w:tcW w:w="12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835959">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51.47-52.91</w:t>
            </w:r>
          </w:p>
        </w:tc>
        <w:tc>
          <w:tcPr>
            <w:tcW w:w="17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012260">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一室一厅</w:t>
            </w:r>
          </w:p>
        </w:tc>
        <w:tc>
          <w:tcPr>
            <w:tcW w:w="6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92A3F3">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多层</w:t>
            </w:r>
          </w:p>
        </w:tc>
        <w:tc>
          <w:tcPr>
            <w:tcW w:w="7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5E7656">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天然气</w:t>
            </w:r>
          </w:p>
        </w:tc>
        <w:tc>
          <w:tcPr>
            <w:tcW w:w="5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D18464">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9</w:t>
            </w:r>
          </w:p>
        </w:tc>
        <w:tc>
          <w:tcPr>
            <w:tcW w:w="1897" w:type="dxa"/>
            <w:tcBorders>
              <w:top w:val="single" w:color="000000" w:sz="4" w:space="0"/>
              <w:left w:val="single" w:color="000000" w:sz="4" w:space="0"/>
              <w:bottom w:val="single" w:color="000000" w:sz="4" w:space="0"/>
            </w:tcBorders>
            <w:noWrap/>
            <w:tcMar>
              <w:top w:w="15" w:type="dxa"/>
              <w:left w:w="15" w:type="dxa"/>
              <w:right w:w="15" w:type="dxa"/>
            </w:tcMar>
            <w:vAlign w:val="center"/>
          </w:tcPr>
          <w:p w14:paraId="7CDFD24E">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涧西区秦岭南路</w:t>
            </w:r>
          </w:p>
        </w:tc>
      </w:tr>
      <w:tr w14:paraId="1D64B9E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57" w:hRule="atLeast"/>
        </w:trPr>
        <w:tc>
          <w:tcPr>
            <w:tcW w:w="467"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14:paraId="2113E15A">
            <w:pPr>
              <w:jc w:val="center"/>
              <w:rPr>
                <w:rFonts w:hint="eastAsia" w:ascii="宋体" w:hAnsi="宋体" w:eastAsia="宋体" w:cs="宋体"/>
                <w:b/>
                <w:i w:val="0"/>
                <w:color w:val="000000"/>
                <w:sz w:val="13"/>
                <w:szCs w:val="13"/>
                <w:u w:val="none"/>
              </w:rPr>
            </w:pPr>
          </w:p>
        </w:tc>
        <w:tc>
          <w:tcPr>
            <w:tcW w:w="12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201182">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天和苑</w:t>
            </w:r>
          </w:p>
        </w:tc>
        <w:tc>
          <w:tcPr>
            <w:tcW w:w="5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154C5F">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240</w:t>
            </w:r>
          </w:p>
        </w:tc>
        <w:tc>
          <w:tcPr>
            <w:tcW w:w="12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071F18">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33.58-44.89</w:t>
            </w:r>
          </w:p>
        </w:tc>
        <w:tc>
          <w:tcPr>
            <w:tcW w:w="17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4FC6E6">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一室一厅</w:t>
            </w:r>
          </w:p>
        </w:tc>
        <w:tc>
          <w:tcPr>
            <w:tcW w:w="6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4B21C6">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多层</w:t>
            </w:r>
          </w:p>
        </w:tc>
        <w:tc>
          <w:tcPr>
            <w:tcW w:w="7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64728F">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天然气</w:t>
            </w:r>
          </w:p>
        </w:tc>
        <w:tc>
          <w:tcPr>
            <w:tcW w:w="5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4A89F5">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9</w:t>
            </w:r>
          </w:p>
        </w:tc>
        <w:tc>
          <w:tcPr>
            <w:tcW w:w="1897" w:type="dxa"/>
            <w:tcBorders>
              <w:top w:val="single" w:color="000000" w:sz="4" w:space="0"/>
              <w:left w:val="single" w:color="000000" w:sz="4" w:space="0"/>
              <w:bottom w:val="single" w:color="000000" w:sz="4" w:space="0"/>
            </w:tcBorders>
            <w:noWrap/>
            <w:tcMar>
              <w:top w:w="15" w:type="dxa"/>
              <w:left w:w="15" w:type="dxa"/>
              <w:right w:w="15" w:type="dxa"/>
            </w:tcMar>
            <w:vAlign w:val="center"/>
          </w:tcPr>
          <w:p w14:paraId="10E88F4D">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涧西区南华路8号</w:t>
            </w:r>
          </w:p>
        </w:tc>
      </w:tr>
      <w:tr w14:paraId="37C1020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32" w:hRule="atLeast"/>
        </w:trPr>
        <w:tc>
          <w:tcPr>
            <w:tcW w:w="467"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14:paraId="685E27BA">
            <w:pPr>
              <w:jc w:val="center"/>
              <w:rPr>
                <w:rFonts w:hint="eastAsia" w:ascii="宋体" w:hAnsi="宋体" w:eastAsia="宋体" w:cs="宋体"/>
                <w:b/>
                <w:i w:val="0"/>
                <w:color w:val="000000"/>
                <w:sz w:val="13"/>
                <w:szCs w:val="13"/>
                <w:u w:val="none"/>
              </w:rPr>
            </w:pPr>
          </w:p>
        </w:tc>
        <w:tc>
          <w:tcPr>
            <w:tcW w:w="12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927FB6">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新泽苑</w:t>
            </w:r>
          </w:p>
        </w:tc>
        <w:tc>
          <w:tcPr>
            <w:tcW w:w="5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A082D5">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89</w:t>
            </w:r>
          </w:p>
        </w:tc>
        <w:tc>
          <w:tcPr>
            <w:tcW w:w="12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A74B68">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47-50</w:t>
            </w:r>
          </w:p>
        </w:tc>
        <w:tc>
          <w:tcPr>
            <w:tcW w:w="17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2A3966">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一室一厅</w:t>
            </w:r>
          </w:p>
        </w:tc>
        <w:tc>
          <w:tcPr>
            <w:tcW w:w="6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618134">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多层</w:t>
            </w:r>
          </w:p>
        </w:tc>
        <w:tc>
          <w:tcPr>
            <w:tcW w:w="7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DA807A">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天然气</w:t>
            </w:r>
          </w:p>
        </w:tc>
        <w:tc>
          <w:tcPr>
            <w:tcW w:w="5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FDFEBF">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9</w:t>
            </w:r>
          </w:p>
        </w:tc>
        <w:tc>
          <w:tcPr>
            <w:tcW w:w="1897" w:type="dxa"/>
            <w:tcBorders>
              <w:top w:val="single" w:color="000000" w:sz="4" w:space="0"/>
              <w:left w:val="single" w:color="000000" w:sz="4" w:space="0"/>
              <w:bottom w:val="single" w:color="000000" w:sz="4" w:space="0"/>
            </w:tcBorders>
            <w:noWrap/>
            <w:tcMar>
              <w:top w:w="15" w:type="dxa"/>
              <w:left w:w="15" w:type="dxa"/>
              <w:right w:w="15" w:type="dxa"/>
            </w:tcMar>
            <w:vAlign w:val="center"/>
          </w:tcPr>
          <w:p w14:paraId="5B2F46BF">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涧西区南华路8号</w:t>
            </w:r>
          </w:p>
        </w:tc>
      </w:tr>
      <w:tr w14:paraId="69F72C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06" w:hRule="atLeast"/>
        </w:trPr>
        <w:tc>
          <w:tcPr>
            <w:tcW w:w="467"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14:paraId="135A35E0">
            <w:pPr>
              <w:jc w:val="center"/>
              <w:rPr>
                <w:rFonts w:hint="eastAsia" w:ascii="宋体" w:hAnsi="宋体" w:eastAsia="宋体" w:cs="宋体"/>
                <w:b/>
                <w:i w:val="0"/>
                <w:color w:val="000000"/>
                <w:sz w:val="13"/>
                <w:szCs w:val="13"/>
                <w:u w:val="none"/>
              </w:rPr>
            </w:pPr>
          </w:p>
        </w:tc>
        <w:tc>
          <w:tcPr>
            <w:tcW w:w="12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5333BB">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岭南春色</w:t>
            </w:r>
          </w:p>
        </w:tc>
        <w:tc>
          <w:tcPr>
            <w:tcW w:w="5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399EEF">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112</w:t>
            </w:r>
          </w:p>
        </w:tc>
        <w:tc>
          <w:tcPr>
            <w:tcW w:w="12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524FB6">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49.1-49.6</w:t>
            </w:r>
          </w:p>
        </w:tc>
        <w:tc>
          <w:tcPr>
            <w:tcW w:w="17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2E30E8">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一室一厅</w:t>
            </w:r>
          </w:p>
        </w:tc>
        <w:tc>
          <w:tcPr>
            <w:tcW w:w="6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D1A867">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多层</w:t>
            </w:r>
          </w:p>
        </w:tc>
        <w:tc>
          <w:tcPr>
            <w:tcW w:w="7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6E9CCA">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天然气</w:t>
            </w:r>
          </w:p>
        </w:tc>
        <w:tc>
          <w:tcPr>
            <w:tcW w:w="5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0A9D87">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9</w:t>
            </w:r>
          </w:p>
        </w:tc>
        <w:tc>
          <w:tcPr>
            <w:tcW w:w="1897" w:type="dxa"/>
            <w:tcBorders>
              <w:top w:val="single" w:color="000000" w:sz="4" w:space="0"/>
              <w:left w:val="single" w:color="000000" w:sz="4" w:space="0"/>
              <w:bottom w:val="single" w:color="000000" w:sz="4" w:space="0"/>
            </w:tcBorders>
            <w:noWrap/>
            <w:tcMar>
              <w:top w:w="15" w:type="dxa"/>
              <w:left w:w="15" w:type="dxa"/>
              <w:right w:w="15" w:type="dxa"/>
            </w:tcMar>
            <w:vAlign w:val="center"/>
          </w:tcPr>
          <w:p w14:paraId="0EBE7299">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龙鳞路与东马沟路交叉口西200米北</w:t>
            </w:r>
          </w:p>
        </w:tc>
      </w:tr>
      <w:tr w14:paraId="3A25C6B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467"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14:paraId="19F79BC2">
            <w:pPr>
              <w:jc w:val="center"/>
              <w:rPr>
                <w:rFonts w:hint="eastAsia" w:ascii="宋体" w:hAnsi="宋体" w:eastAsia="宋体" w:cs="宋体"/>
                <w:b/>
                <w:i w:val="0"/>
                <w:color w:val="000000"/>
                <w:sz w:val="13"/>
                <w:szCs w:val="13"/>
                <w:u w:val="none"/>
              </w:rPr>
            </w:pP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12D43F">
            <w:pPr>
              <w:keepNext w:val="0"/>
              <w:keepLines w:val="0"/>
              <w:widowControl/>
              <w:suppressLineNumbers w:val="0"/>
              <w:jc w:val="center"/>
              <w:textAlignment w:val="center"/>
              <w:rPr>
                <w:rFonts w:hint="eastAsia" w:ascii="宋体" w:hAnsi="宋体" w:eastAsia="宋体" w:cs="宋体"/>
                <w:b/>
                <w:i w:val="0"/>
                <w:color w:val="000000"/>
                <w:kern w:val="2"/>
                <w:sz w:val="13"/>
                <w:szCs w:val="13"/>
                <w:u w:val="none"/>
                <w:lang w:val="en-US" w:eastAsia="zh-CN" w:bidi="ar-SA"/>
              </w:rPr>
            </w:pPr>
            <w:r>
              <w:rPr>
                <w:rFonts w:hint="eastAsia" w:ascii="宋体" w:hAnsi="宋体" w:eastAsia="宋体" w:cs="宋体"/>
                <w:b/>
                <w:i w:val="0"/>
                <w:color w:val="000000"/>
                <w:kern w:val="0"/>
                <w:sz w:val="13"/>
                <w:szCs w:val="13"/>
                <w:u w:val="none"/>
                <w:lang w:val="en-US" w:eastAsia="zh-CN" w:bidi="ar"/>
              </w:rPr>
              <w:t>恒昌家园</w:t>
            </w:r>
          </w:p>
        </w:tc>
        <w:tc>
          <w:tcPr>
            <w:tcW w:w="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CBFD6">
            <w:pPr>
              <w:keepNext w:val="0"/>
              <w:keepLines w:val="0"/>
              <w:widowControl/>
              <w:suppressLineNumbers w:val="0"/>
              <w:jc w:val="center"/>
              <w:textAlignment w:val="center"/>
              <w:rPr>
                <w:rFonts w:hint="eastAsia" w:ascii="宋体" w:hAnsi="宋体" w:eastAsia="宋体" w:cs="宋体"/>
                <w:b/>
                <w:i w:val="0"/>
                <w:color w:val="000000"/>
                <w:kern w:val="2"/>
                <w:sz w:val="13"/>
                <w:szCs w:val="13"/>
                <w:u w:val="none"/>
                <w:lang w:val="en-US" w:eastAsia="zh-CN" w:bidi="ar-SA"/>
              </w:rPr>
            </w:pPr>
            <w:r>
              <w:rPr>
                <w:rFonts w:hint="eastAsia" w:ascii="宋体" w:hAnsi="宋体" w:eastAsia="宋体" w:cs="宋体"/>
                <w:b/>
                <w:i w:val="0"/>
                <w:color w:val="000000"/>
                <w:kern w:val="0"/>
                <w:sz w:val="13"/>
                <w:szCs w:val="13"/>
                <w:u w:val="none"/>
                <w:lang w:val="en-US" w:eastAsia="zh-CN" w:bidi="ar"/>
              </w:rPr>
              <w:t>3830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8AA698">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37-58</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1C5BAE">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一室、一室一厅、两室一厅</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5BC4C">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高层</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5BDA53">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气、暖</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E1B924">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9</w:t>
            </w:r>
          </w:p>
        </w:tc>
        <w:tc>
          <w:tcPr>
            <w:tcW w:w="1897" w:type="dxa"/>
            <w:tcBorders>
              <w:top w:val="single" w:color="000000" w:sz="4" w:space="0"/>
              <w:left w:val="single" w:color="000000" w:sz="4" w:space="0"/>
              <w:bottom w:val="single" w:color="000000" w:sz="4" w:space="0"/>
            </w:tcBorders>
            <w:shd w:val="clear" w:color="auto" w:fill="auto"/>
            <w:noWrap/>
            <w:tcMar>
              <w:top w:w="15" w:type="dxa"/>
              <w:left w:w="15" w:type="dxa"/>
              <w:right w:w="15" w:type="dxa"/>
            </w:tcMar>
            <w:vAlign w:val="center"/>
          </w:tcPr>
          <w:p w14:paraId="4EE770C1">
            <w:pPr>
              <w:keepNext w:val="0"/>
              <w:keepLines w:val="0"/>
              <w:widowControl/>
              <w:suppressLineNumbers w:val="0"/>
              <w:jc w:val="center"/>
              <w:textAlignment w:val="center"/>
              <w:rPr>
                <w:rFonts w:hint="eastAsia" w:ascii="宋体" w:hAnsi="宋体" w:eastAsia="宋体" w:cs="宋体"/>
                <w:i w:val="0"/>
                <w:color w:val="000000"/>
                <w:kern w:val="2"/>
                <w:sz w:val="13"/>
                <w:szCs w:val="13"/>
                <w:u w:val="none"/>
                <w:lang w:val="en-US" w:eastAsia="zh-CN" w:bidi="ar-SA"/>
              </w:rPr>
            </w:pPr>
            <w:r>
              <w:rPr>
                <w:rFonts w:hint="eastAsia" w:ascii="宋体" w:hAnsi="宋体" w:eastAsia="宋体" w:cs="宋体"/>
                <w:i w:val="0"/>
                <w:color w:val="000000"/>
                <w:kern w:val="0"/>
                <w:sz w:val="13"/>
                <w:szCs w:val="13"/>
                <w:u w:val="none"/>
                <w:lang w:val="en-US" w:eastAsia="zh-CN" w:bidi="ar"/>
              </w:rPr>
              <w:t>伊洛路与瀛洲路交叉口东南角</w:t>
            </w:r>
          </w:p>
        </w:tc>
      </w:tr>
      <w:tr w14:paraId="3D74866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09" w:hRule="atLeast"/>
        </w:trPr>
        <w:tc>
          <w:tcPr>
            <w:tcW w:w="467" w:type="dxa"/>
            <w:vMerge w:val="continue"/>
            <w:tcBorders>
              <w:top w:val="single" w:color="000000" w:sz="4" w:space="0"/>
              <w:right w:val="single" w:color="000000" w:sz="4" w:space="0"/>
            </w:tcBorders>
            <w:noWrap/>
            <w:tcMar>
              <w:top w:w="15" w:type="dxa"/>
              <w:left w:w="15" w:type="dxa"/>
              <w:right w:w="15" w:type="dxa"/>
            </w:tcMar>
            <w:vAlign w:val="center"/>
          </w:tcPr>
          <w:p w14:paraId="22DB0B12">
            <w:pPr>
              <w:jc w:val="center"/>
              <w:rPr>
                <w:rFonts w:hint="eastAsia" w:ascii="宋体" w:hAnsi="宋体" w:eastAsia="宋体" w:cs="宋体"/>
                <w:b/>
                <w:i w:val="0"/>
                <w:color w:val="000000"/>
                <w:sz w:val="13"/>
                <w:szCs w:val="13"/>
                <w:u w:val="none"/>
              </w:rPr>
            </w:pPr>
          </w:p>
        </w:tc>
        <w:tc>
          <w:tcPr>
            <w:tcW w:w="1247" w:type="dxa"/>
            <w:tcBorders>
              <w:top w:val="single" w:color="000000" w:sz="4" w:space="0"/>
              <w:left w:val="single" w:color="000000" w:sz="4" w:space="0"/>
              <w:right w:val="single" w:color="000000" w:sz="4" w:space="0"/>
            </w:tcBorders>
            <w:noWrap/>
            <w:tcMar>
              <w:top w:w="15" w:type="dxa"/>
              <w:left w:w="15" w:type="dxa"/>
              <w:right w:w="15" w:type="dxa"/>
            </w:tcMar>
            <w:vAlign w:val="center"/>
          </w:tcPr>
          <w:p w14:paraId="6DD6012C">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城市名筑</w:t>
            </w:r>
          </w:p>
        </w:tc>
        <w:tc>
          <w:tcPr>
            <w:tcW w:w="541" w:type="dxa"/>
            <w:tcBorders>
              <w:top w:val="single" w:color="000000" w:sz="4" w:space="0"/>
              <w:left w:val="single" w:color="000000" w:sz="4" w:space="0"/>
              <w:right w:val="single" w:color="000000" w:sz="4" w:space="0"/>
            </w:tcBorders>
            <w:noWrap/>
            <w:tcMar>
              <w:top w:w="15" w:type="dxa"/>
              <w:left w:w="15" w:type="dxa"/>
              <w:right w:w="15" w:type="dxa"/>
            </w:tcMar>
            <w:vAlign w:val="center"/>
          </w:tcPr>
          <w:p w14:paraId="5A72C448">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35</w:t>
            </w:r>
          </w:p>
        </w:tc>
        <w:tc>
          <w:tcPr>
            <w:tcW w:w="1224" w:type="dxa"/>
            <w:tcBorders>
              <w:top w:val="single" w:color="000000" w:sz="4" w:space="0"/>
              <w:left w:val="single" w:color="000000" w:sz="4" w:space="0"/>
              <w:right w:val="single" w:color="000000" w:sz="4" w:space="0"/>
            </w:tcBorders>
            <w:noWrap/>
            <w:tcMar>
              <w:top w:w="15" w:type="dxa"/>
              <w:left w:w="15" w:type="dxa"/>
              <w:right w:w="15" w:type="dxa"/>
            </w:tcMar>
            <w:vAlign w:val="center"/>
          </w:tcPr>
          <w:p w14:paraId="3CF0D662">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34.55-44.52</w:t>
            </w:r>
          </w:p>
        </w:tc>
        <w:tc>
          <w:tcPr>
            <w:tcW w:w="1704" w:type="dxa"/>
            <w:tcBorders>
              <w:top w:val="single" w:color="000000" w:sz="4" w:space="0"/>
              <w:left w:val="single" w:color="000000" w:sz="4" w:space="0"/>
              <w:right w:val="single" w:color="000000" w:sz="4" w:space="0"/>
            </w:tcBorders>
            <w:noWrap/>
            <w:tcMar>
              <w:top w:w="15" w:type="dxa"/>
              <w:left w:w="15" w:type="dxa"/>
              <w:right w:w="15" w:type="dxa"/>
            </w:tcMar>
            <w:vAlign w:val="center"/>
          </w:tcPr>
          <w:p w14:paraId="3F727C6A">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一室一厅</w:t>
            </w:r>
          </w:p>
        </w:tc>
        <w:tc>
          <w:tcPr>
            <w:tcW w:w="675" w:type="dxa"/>
            <w:tcBorders>
              <w:top w:val="single" w:color="000000" w:sz="4" w:space="0"/>
              <w:left w:val="single" w:color="000000" w:sz="4" w:space="0"/>
              <w:right w:val="single" w:color="000000" w:sz="4" w:space="0"/>
            </w:tcBorders>
            <w:noWrap/>
            <w:tcMar>
              <w:top w:w="15" w:type="dxa"/>
              <w:left w:w="15" w:type="dxa"/>
              <w:right w:w="15" w:type="dxa"/>
            </w:tcMar>
            <w:vAlign w:val="center"/>
          </w:tcPr>
          <w:p w14:paraId="5DA3D89E">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多层</w:t>
            </w:r>
          </w:p>
        </w:tc>
        <w:tc>
          <w:tcPr>
            <w:tcW w:w="792" w:type="dxa"/>
            <w:tcBorders>
              <w:top w:val="single" w:color="000000" w:sz="4" w:space="0"/>
              <w:left w:val="single" w:color="000000" w:sz="4" w:space="0"/>
              <w:right w:val="single" w:color="000000" w:sz="4" w:space="0"/>
            </w:tcBorders>
            <w:noWrap/>
            <w:tcMar>
              <w:top w:w="15" w:type="dxa"/>
              <w:left w:w="15" w:type="dxa"/>
              <w:right w:w="15" w:type="dxa"/>
            </w:tcMar>
            <w:vAlign w:val="center"/>
          </w:tcPr>
          <w:p w14:paraId="268D8ADB">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气、暖</w:t>
            </w:r>
          </w:p>
        </w:tc>
        <w:tc>
          <w:tcPr>
            <w:tcW w:w="517" w:type="dxa"/>
            <w:tcBorders>
              <w:top w:val="single" w:color="000000" w:sz="4" w:space="0"/>
              <w:left w:val="single" w:color="000000" w:sz="4" w:space="0"/>
              <w:right w:val="single" w:color="000000" w:sz="4" w:space="0"/>
            </w:tcBorders>
            <w:noWrap/>
            <w:tcMar>
              <w:top w:w="15" w:type="dxa"/>
              <w:left w:w="15" w:type="dxa"/>
              <w:right w:w="15" w:type="dxa"/>
            </w:tcMar>
            <w:vAlign w:val="center"/>
          </w:tcPr>
          <w:p w14:paraId="66E5BF44">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w:t>
            </w:r>
          </w:p>
        </w:tc>
        <w:tc>
          <w:tcPr>
            <w:tcW w:w="1897" w:type="dxa"/>
            <w:tcBorders>
              <w:top w:val="single" w:color="000000" w:sz="4" w:space="0"/>
              <w:left w:val="single" w:color="000000" w:sz="4" w:space="0"/>
            </w:tcBorders>
            <w:noWrap/>
            <w:tcMar>
              <w:top w:w="15" w:type="dxa"/>
              <w:left w:w="15" w:type="dxa"/>
              <w:right w:w="15" w:type="dxa"/>
            </w:tcMar>
            <w:vAlign w:val="center"/>
          </w:tcPr>
          <w:p w14:paraId="04C44BFA">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建设路与郑州路交叉口东南</w:t>
            </w:r>
          </w:p>
        </w:tc>
      </w:tr>
    </w:tbl>
    <w:p w14:paraId="50B53A38">
      <w:pPr>
        <w:rPr>
          <w:rFonts w:hint="eastAsia" w:ascii="宋体" w:hAnsi="宋体" w:eastAsia="宋体" w:cs="宋体"/>
          <w:sz w:val="13"/>
          <w:szCs w:val="13"/>
        </w:rPr>
      </w:pPr>
    </w:p>
    <w:p w14:paraId="2D652415">
      <w:pPr>
        <w:pStyle w:val="10"/>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bCs/>
          <w:sz w:val="13"/>
          <w:szCs w:val="13"/>
          <w:lang w:val="en-US" w:eastAsia="zh-CN"/>
        </w:rPr>
      </w:pPr>
    </w:p>
    <w:p w14:paraId="3108FE84">
      <w:pPr>
        <w:pStyle w:val="10"/>
        <w:keepNext w:val="0"/>
        <w:keepLines w:val="0"/>
        <w:pageBreakBefore w:val="0"/>
        <w:widowControl w:val="0"/>
        <w:numPr>
          <w:ilvl w:val="0"/>
          <w:numId w:val="2"/>
        </w:numPr>
        <w:kinsoku/>
        <w:wordWrap/>
        <w:overflowPunct/>
        <w:topLinePunct w:val="0"/>
        <w:autoSpaceDE/>
        <w:autoSpaceDN/>
        <w:bidi w:val="0"/>
        <w:adjustRightInd/>
        <w:snapToGrid/>
        <w:ind w:left="0" w:leftChars="0" w:firstLine="643" w:firstLineChars="200"/>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公租房申请</w:t>
      </w:r>
      <w:r>
        <w:rPr>
          <w:rFonts w:hint="eastAsia" w:ascii="仿宋_GB2312" w:hAnsi="仿宋_GB2312" w:eastAsia="仿宋_GB2312" w:cs="仿宋_GB2312"/>
          <w:b/>
          <w:bCs/>
          <w:sz w:val="32"/>
          <w:szCs w:val="32"/>
          <w:lang w:val="en-US" w:eastAsia="zh-CN"/>
        </w:rPr>
        <w:t>“一件事”</w:t>
      </w:r>
      <w:r>
        <w:rPr>
          <w:rFonts w:hint="eastAsia" w:ascii="宋体" w:hAnsi="宋体" w:eastAsia="宋体" w:cs="宋体"/>
          <w:b/>
          <w:bCs/>
          <w:sz w:val="32"/>
          <w:szCs w:val="32"/>
          <w:lang w:val="en-US" w:eastAsia="zh-CN"/>
        </w:rPr>
        <w:t>常见问题</w:t>
      </w:r>
    </w:p>
    <w:p w14:paraId="4C01768A">
      <w:pPr>
        <w:keepNext w:val="0"/>
        <w:keepLines w:val="0"/>
        <w:pageBreakBefore w:val="0"/>
        <w:widowControl w:val="0"/>
        <w:kinsoku/>
        <w:wordWrap/>
        <w:topLinePunct w:val="0"/>
        <w:autoSpaceDE/>
        <w:autoSpaceDN/>
        <w:bidi w:val="0"/>
        <w:adjustRightInd/>
        <w:snapToGrid/>
        <w:spacing w:line="240" w:lineRule="auto"/>
        <w:ind w:firstLine="562" w:firstLineChars="200"/>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1.</w:t>
      </w:r>
      <w:r>
        <w:rPr>
          <w:rFonts w:hint="eastAsia" w:ascii="仿宋" w:hAnsi="仿宋" w:eastAsia="仿宋" w:cs="仿宋"/>
          <w:b w:val="0"/>
          <w:bCs w:val="0"/>
          <w:sz w:val="28"/>
          <w:szCs w:val="28"/>
          <w:lang w:val="en-US" w:eastAsia="zh-CN"/>
        </w:rPr>
        <w:t>问：通过什么渠道可以办理公租房资格申请服务“一件事”？</w:t>
      </w:r>
    </w:p>
    <w:p w14:paraId="46054973">
      <w:pPr>
        <w:keepNext w:val="0"/>
        <w:keepLines w:val="0"/>
        <w:pageBreakBefore w:val="0"/>
        <w:widowControl w:val="0"/>
        <w:kinsoku/>
        <w:wordWrap/>
        <w:topLinePunct w:val="0"/>
        <w:autoSpaceDE/>
        <w:autoSpaceDN/>
        <w:bidi w:val="0"/>
        <w:adjustRightInd/>
        <w:snapToGrid/>
        <w:spacing w:line="240" w:lineRule="auto"/>
        <w:ind w:firstLine="560" w:firstLineChars="200"/>
        <w:rPr>
          <w:rFonts w:hint="eastAsia" w:ascii="仿宋" w:hAnsi="仿宋" w:eastAsia="仿宋" w:cs="仿宋"/>
          <w:b/>
          <w:bCs/>
          <w:sz w:val="28"/>
          <w:szCs w:val="28"/>
        </w:rPr>
      </w:pPr>
      <w:r>
        <w:rPr>
          <w:rFonts w:hint="eastAsia" w:ascii="仿宋" w:hAnsi="仿宋" w:eastAsia="仿宋" w:cs="仿宋"/>
          <w:b w:val="0"/>
          <w:bCs w:val="0"/>
          <w:sz w:val="28"/>
          <w:szCs w:val="28"/>
        </w:rPr>
        <w:t>答：申请人可以在河南政务服务网或</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豫事办</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App</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一件事</w:t>
      </w:r>
      <w:r>
        <w:rPr>
          <w:rFonts w:hint="eastAsia" w:ascii="仿宋" w:hAnsi="仿宋" w:eastAsia="仿宋" w:cs="仿宋"/>
          <w:b w:val="0"/>
          <w:bCs w:val="0"/>
          <w:sz w:val="28"/>
          <w:szCs w:val="28"/>
          <w:lang w:eastAsia="zh-CN"/>
        </w:rPr>
        <w:t>”申请公租房“</w:t>
      </w:r>
      <w:r>
        <w:rPr>
          <w:rFonts w:hint="eastAsia" w:ascii="仿宋" w:hAnsi="仿宋" w:eastAsia="仿宋" w:cs="仿宋"/>
          <w:b w:val="0"/>
          <w:bCs w:val="0"/>
          <w:sz w:val="28"/>
          <w:szCs w:val="28"/>
        </w:rPr>
        <w:t>一件事</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模块申请办理。申请人还可以向户口所在地或经常居住地县级政务服务中心便民服务中心</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一件事</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综合窗口提出申请，</w:t>
      </w:r>
      <w:r>
        <w:rPr>
          <w:rFonts w:hint="eastAsia" w:ascii="仿宋" w:hAnsi="仿宋" w:eastAsia="仿宋" w:cs="仿宋"/>
          <w:b w:val="0"/>
          <w:bCs w:val="0"/>
          <w:sz w:val="28"/>
          <w:szCs w:val="28"/>
          <w:lang w:val="en-US" w:eastAsia="zh-CN"/>
        </w:rPr>
        <w:t>进行</w:t>
      </w:r>
      <w:r>
        <w:rPr>
          <w:rFonts w:hint="eastAsia" w:ascii="仿宋" w:hAnsi="仿宋" w:eastAsia="仿宋" w:cs="仿宋"/>
          <w:b w:val="0"/>
          <w:bCs w:val="0"/>
          <w:sz w:val="28"/>
          <w:szCs w:val="28"/>
        </w:rPr>
        <w:t>办理。</w:t>
      </w:r>
    </w:p>
    <w:p w14:paraId="5DDFA6F8">
      <w:pPr>
        <w:keepNext w:val="0"/>
        <w:keepLines w:val="0"/>
        <w:pageBreakBefore w:val="0"/>
        <w:widowControl w:val="0"/>
        <w:kinsoku/>
        <w:wordWrap/>
        <w:topLinePunct w:val="0"/>
        <w:autoSpaceDE/>
        <w:autoSpaceDN/>
        <w:bidi w:val="0"/>
        <w:adjustRightInd/>
        <w:snapToGrid/>
        <w:spacing w:line="240" w:lineRule="auto"/>
        <w:ind w:firstLine="562" w:firstLineChars="200"/>
        <w:jc w:val="left"/>
        <w:rPr>
          <w:rFonts w:hint="eastAsia" w:ascii="仿宋" w:hAnsi="仿宋" w:eastAsia="仿宋" w:cs="仿宋"/>
          <w:b/>
          <w:bCs/>
          <w:sz w:val="28"/>
          <w:szCs w:val="28"/>
        </w:rPr>
      </w:pPr>
      <w:r>
        <w:rPr>
          <w:rFonts w:hint="eastAsia" w:ascii="仿宋" w:hAnsi="仿宋" w:eastAsia="仿宋" w:cs="仿宋"/>
          <w:b/>
          <w:bCs/>
          <w:sz w:val="28"/>
          <w:szCs w:val="28"/>
          <w:lang w:val="en-US" w:eastAsia="zh-CN"/>
        </w:rPr>
        <w:t>2</w:t>
      </w:r>
      <w:r>
        <w:rPr>
          <w:rFonts w:hint="eastAsia" w:ascii="仿宋" w:hAnsi="仿宋" w:eastAsia="仿宋" w:cs="仿宋"/>
          <w:b/>
          <w:bCs/>
          <w:sz w:val="28"/>
          <w:szCs w:val="28"/>
        </w:rPr>
        <w:t>.问：一般多长时间可以办完公租房承租资格确认手续?</w:t>
      </w:r>
    </w:p>
    <w:p w14:paraId="53B0A391">
      <w:pPr>
        <w:keepNext w:val="0"/>
        <w:keepLines w:val="0"/>
        <w:pageBreakBefore w:val="0"/>
        <w:widowControl w:val="0"/>
        <w:kinsoku/>
        <w:wordWrap/>
        <w:topLinePunct w:val="0"/>
        <w:autoSpaceDE/>
        <w:autoSpaceDN/>
        <w:bidi w:val="0"/>
        <w:adjustRightInd/>
        <w:snapToGrid/>
        <w:spacing w:line="240" w:lineRule="auto"/>
        <w:ind w:firstLine="560" w:firstLineChars="200"/>
        <w:jc w:val="left"/>
        <w:rPr>
          <w:rFonts w:hint="eastAsia" w:ascii="仿宋" w:hAnsi="仿宋" w:eastAsia="仿宋" w:cs="仿宋"/>
          <w:sz w:val="28"/>
          <w:szCs w:val="28"/>
          <w:lang w:val="en-US"/>
        </w:rPr>
      </w:pPr>
      <w:r>
        <w:rPr>
          <w:rFonts w:hint="eastAsia" w:ascii="仿宋" w:hAnsi="仿宋" w:eastAsia="仿宋" w:cs="仿宋"/>
          <w:sz w:val="28"/>
          <w:szCs w:val="28"/>
        </w:rPr>
        <w:t>答：</w:t>
      </w:r>
      <w:r>
        <w:rPr>
          <w:rFonts w:hint="eastAsia" w:ascii="仿宋" w:hAnsi="仿宋" w:eastAsia="仿宋" w:cs="仿宋"/>
          <w:color w:val="auto"/>
          <w:sz w:val="28"/>
          <w:szCs w:val="28"/>
          <w:highlight w:val="none"/>
        </w:rPr>
        <w:t>从受理到</w:t>
      </w:r>
      <w:r>
        <w:rPr>
          <w:rFonts w:hint="eastAsia" w:ascii="仿宋" w:hAnsi="仿宋" w:eastAsia="仿宋" w:cs="仿宋"/>
          <w:color w:val="auto"/>
          <w:sz w:val="28"/>
          <w:szCs w:val="28"/>
          <w:highlight w:val="none"/>
          <w:lang w:eastAsia="zh-CN"/>
        </w:rPr>
        <w:t>办结</w:t>
      </w:r>
      <w:r>
        <w:rPr>
          <w:rFonts w:hint="eastAsia" w:ascii="仿宋" w:hAnsi="仿宋" w:eastAsia="仿宋" w:cs="仿宋"/>
          <w:color w:val="auto"/>
          <w:sz w:val="28"/>
          <w:szCs w:val="28"/>
          <w:highlight w:val="none"/>
        </w:rPr>
        <w:t>，应在</w:t>
      </w:r>
      <w:r>
        <w:rPr>
          <w:rFonts w:hint="eastAsia" w:ascii="仿宋" w:hAnsi="仿宋" w:eastAsia="仿宋" w:cs="仿宋"/>
          <w:color w:val="auto"/>
          <w:sz w:val="28"/>
          <w:szCs w:val="28"/>
          <w:highlight w:val="none"/>
          <w:lang w:val="en-US" w:eastAsia="zh-CN"/>
        </w:rPr>
        <w:t>15个</w:t>
      </w:r>
      <w:r>
        <w:rPr>
          <w:rFonts w:hint="eastAsia" w:ascii="仿宋" w:hAnsi="仿宋" w:eastAsia="仿宋" w:cs="仿宋"/>
          <w:color w:val="auto"/>
          <w:sz w:val="28"/>
          <w:szCs w:val="28"/>
          <w:highlight w:val="none"/>
        </w:rPr>
        <w:t>工作日内完成</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时限</w:t>
      </w:r>
      <w:r>
        <w:rPr>
          <w:rFonts w:hint="eastAsia" w:ascii="仿宋" w:hAnsi="仿宋" w:eastAsia="仿宋" w:cs="仿宋"/>
          <w:color w:val="auto"/>
          <w:sz w:val="28"/>
          <w:szCs w:val="28"/>
          <w:highlight w:val="none"/>
          <w:lang w:eastAsia="zh-CN"/>
        </w:rPr>
        <w:t>不</w:t>
      </w:r>
      <w:r>
        <w:rPr>
          <w:rFonts w:hint="eastAsia" w:ascii="仿宋" w:hAnsi="仿宋" w:eastAsia="仿宋" w:cs="仿宋"/>
          <w:color w:val="auto"/>
          <w:sz w:val="28"/>
          <w:szCs w:val="28"/>
          <w:highlight w:val="none"/>
        </w:rPr>
        <w:t>包括公示</w:t>
      </w:r>
      <w:r>
        <w:rPr>
          <w:rFonts w:hint="eastAsia" w:ascii="仿宋" w:hAnsi="仿宋" w:eastAsia="仿宋" w:cs="仿宋"/>
          <w:color w:val="auto"/>
          <w:sz w:val="28"/>
          <w:szCs w:val="28"/>
          <w:highlight w:val="none"/>
          <w:lang w:eastAsia="zh-CN"/>
        </w:rPr>
        <w:t>期）</w:t>
      </w:r>
      <w:r>
        <w:rPr>
          <w:rFonts w:hint="eastAsia" w:ascii="仿宋" w:hAnsi="仿宋" w:eastAsia="仿宋" w:cs="仿宋"/>
          <w:color w:val="auto"/>
          <w:sz w:val="28"/>
          <w:szCs w:val="28"/>
          <w:highlight w:val="none"/>
          <w:lang w:val="en-US" w:eastAsia="zh-CN"/>
        </w:rPr>
        <w:t>。根据申请人员多少及申请家庭户籍情况，有时3日就能查询或收到结果。</w:t>
      </w:r>
    </w:p>
    <w:p w14:paraId="7A9C980C">
      <w:pPr>
        <w:keepNext w:val="0"/>
        <w:keepLines w:val="0"/>
        <w:pageBreakBefore w:val="0"/>
        <w:widowControl w:val="0"/>
        <w:kinsoku/>
        <w:wordWrap/>
        <w:topLinePunct w:val="0"/>
        <w:autoSpaceDE/>
        <w:autoSpaceDN/>
        <w:bidi w:val="0"/>
        <w:adjustRightInd/>
        <w:snapToGrid/>
        <w:spacing w:line="240" w:lineRule="auto"/>
        <w:ind w:firstLine="562" w:firstLineChars="200"/>
        <w:jc w:val="left"/>
        <w:rPr>
          <w:rFonts w:hint="eastAsia" w:ascii="仿宋" w:hAnsi="仿宋" w:eastAsia="仿宋" w:cs="仿宋"/>
          <w:b/>
          <w:bCs/>
          <w:sz w:val="28"/>
          <w:szCs w:val="28"/>
        </w:rPr>
      </w:pPr>
      <w:r>
        <w:rPr>
          <w:rFonts w:hint="eastAsia" w:ascii="仿宋" w:hAnsi="仿宋" w:eastAsia="仿宋" w:cs="仿宋"/>
          <w:b/>
          <w:bCs/>
          <w:sz w:val="28"/>
          <w:szCs w:val="28"/>
        </w:rPr>
        <w:t>2.问：收费标准及依据是什么?</w:t>
      </w:r>
    </w:p>
    <w:p w14:paraId="38544DBD">
      <w:pPr>
        <w:keepNext w:val="0"/>
        <w:keepLines w:val="0"/>
        <w:pageBreakBefore w:val="0"/>
        <w:widowControl w:val="0"/>
        <w:kinsoku/>
        <w:wordWrap/>
        <w:topLinePunct w:val="0"/>
        <w:autoSpaceDE/>
        <w:autoSpaceDN/>
        <w:bidi w:val="0"/>
        <w:adjustRightInd/>
        <w:snapToGrid/>
        <w:spacing w:line="24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答：办理此事项不用收费。</w:t>
      </w:r>
    </w:p>
    <w:p w14:paraId="35A37FA5">
      <w:pPr>
        <w:keepNext w:val="0"/>
        <w:keepLines w:val="0"/>
        <w:pageBreakBefore w:val="0"/>
        <w:widowControl w:val="0"/>
        <w:kinsoku/>
        <w:wordWrap/>
        <w:topLinePunct w:val="0"/>
        <w:autoSpaceDE/>
        <w:autoSpaceDN/>
        <w:bidi w:val="0"/>
        <w:adjustRightInd/>
        <w:snapToGrid/>
        <w:spacing w:line="240" w:lineRule="auto"/>
        <w:ind w:firstLine="562" w:firstLineChars="200"/>
        <w:jc w:val="left"/>
        <w:rPr>
          <w:rFonts w:hint="eastAsia" w:ascii="仿宋" w:hAnsi="仿宋" w:eastAsia="仿宋" w:cs="仿宋"/>
          <w:b/>
          <w:bCs/>
          <w:sz w:val="28"/>
          <w:szCs w:val="28"/>
          <w:lang w:eastAsia="zh-CN"/>
        </w:rPr>
      </w:pPr>
      <w:r>
        <w:rPr>
          <w:rFonts w:hint="eastAsia" w:ascii="仿宋" w:hAnsi="仿宋" w:eastAsia="仿宋" w:cs="仿宋"/>
          <w:b/>
          <w:bCs/>
          <w:sz w:val="28"/>
          <w:szCs w:val="28"/>
        </w:rPr>
        <w:t>3.问：</w:t>
      </w:r>
      <w:r>
        <w:rPr>
          <w:rFonts w:hint="eastAsia" w:ascii="仿宋" w:hAnsi="仿宋" w:eastAsia="仿宋" w:cs="仿宋"/>
          <w:b/>
          <w:bCs/>
          <w:sz w:val="28"/>
          <w:szCs w:val="28"/>
          <w:lang w:eastAsia="zh-CN"/>
        </w:rPr>
        <w:t>各县区住房保障部门服务地址是什么地方、及咨询电话是多少</w:t>
      </w:r>
    </w:p>
    <w:p w14:paraId="44BBCE57">
      <w:pPr>
        <w:keepNext w:val="0"/>
        <w:keepLines w:val="0"/>
        <w:pageBreakBefore w:val="0"/>
        <w:widowControl w:val="0"/>
        <w:kinsoku/>
        <w:wordWrap/>
        <w:topLinePunct w:val="0"/>
        <w:autoSpaceDE/>
        <w:autoSpaceDN/>
        <w:bidi w:val="0"/>
        <w:adjustRightInd/>
        <w:snapToGrid/>
        <w:spacing w:line="240" w:lineRule="auto"/>
        <w:ind w:firstLine="560" w:firstLineChars="200"/>
        <w:jc w:val="left"/>
        <w:rPr>
          <w:rFonts w:hint="eastAsia" w:ascii="仿宋" w:hAnsi="仿宋" w:eastAsia="仿宋" w:cs="仿宋"/>
          <w:color w:val="0000FF"/>
          <w:sz w:val="28"/>
          <w:szCs w:val="28"/>
          <w:lang w:val="en-US" w:eastAsia="zh-CN"/>
        </w:rPr>
      </w:pPr>
      <w:r>
        <w:rPr>
          <w:rFonts w:hint="eastAsia" w:ascii="仿宋" w:hAnsi="仿宋" w:eastAsia="仿宋" w:cs="仿宋"/>
          <w:sz w:val="28"/>
          <w:szCs w:val="28"/>
        </w:rPr>
        <w:t>答：</w:t>
      </w:r>
      <w:r>
        <w:rPr>
          <w:rFonts w:hint="eastAsia" w:ascii="仿宋" w:hAnsi="仿宋" w:eastAsia="仿宋" w:cs="仿宋"/>
          <w:sz w:val="28"/>
          <w:szCs w:val="28"/>
          <w:lang w:eastAsia="zh-CN"/>
        </w:rPr>
        <w:t>市住房保障部门：</w:t>
      </w:r>
      <w:r>
        <w:rPr>
          <w:rFonts w:hint="eastAsia" w:ascii="仿宋" w:hAnsi="仿宋" w:eastAsia="仿宋" w:cs="仿宋"/>
          <w:color w:val="000000" w:themeColor="text1"/>
          <w:sz w:val="28"/>
          <w:szCs w:val="28"/>
          <w14:textFill>
            <w14:solidFill>
              <w14:schemeClr w14:val="tx1"/>
            </w14:solidFill>
          </w14:textFill>
        </w:rPr>
        <w:t>涧西区周山路12号一楼大厅西侧窗口</w:t>
      </w:r>
      <w:r>
        <w:rPr>
          <w:rFonts w:hint="eastAsia" w:ascii="仿宋" w:hAnsi="仿宋" w:eastAsia="仿宋" w:cs="仿宋"/>
          <w:color w:val="000000" w:themeColor="text1"/>
          <w:sz w:val="28"/>
          <w:szCs w:val="28"/>
          <w:lang w:eastAsia="zh-CN"/>
          <w14:textFill>
            <w14:solidFill>
              <w14:schemeClr w14:val="tx1"/>
            </w14:solidFill>
          </w14:textFill>
        </w:rPr>
        <w:t>、电话：</w:t>
      </w:r>
      <w:r>
        <w:rPr>
          <w:rFonts w:hint="eastAsia" w:ascii="仿宋" w:hAnsi="仿宋" w:eastAsia="仿宋" w:cs="仿宋"/>
          <w:color w:val="000000" w:themeColor="text1"/>
          <w:sz w:val="28"/>
          <w:szCs w:val="28"/>
          <w:lang w:val="en-US" w:eastAsia="zh-CN"/>
          <w14:textFill>
            <w14:solidFill>
              <w14:schemeClr w14:val="tx1"/>
            </w14:solidFill>
          </w14:textFill>
        </w:rPr>
        <w:t>63271963.</w:t>
      </w:r>
    </w:p>
    <w:p w14:paraId="30BC565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（1）老城区行政服务中心（东厅）老城区墨香路与状元红路交叉口西北角。</w:t>
      </w:r>
      <w:r>
        <w:rPr>
          <w:rFonts w:hint="eastAsia" w:ascii="仿宋" w:hAnsi="仿宋" w:eastAsia="仿宋" w:cs="仿宋"/>
          <w:i w:val="0"/>
          <w:iCs w:val="0"/>
          <w:color w:val="000000"/>
          <w:kern w:val="0"/>
          <w:sz w:val="28"/>
          <w:szCs w:val="28"/>
          <w:u w:val="none"/>
          <w:lang w:val="en-US" w:eastAsia="zh-CN" w:bidi="ar"/>
        </w:rPr>
        <w:t>电话63993782</w:t>
      </w:r>
    </w:p>
    <w:p w14:paraId="593F2FC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（2）西工区政务服务中心三楼15号窗口（九都路与解放路交叉口往西100米）</w:t>
      </w:r>
      <w:r>
        <w:rPr>
          <w:rFonts w:hint="eastAsia" w:ascii="仿宋" w:hAnsi="仿宋" w:eastAsia="仿宋" w:cs="仿宋"/>
          <w:i w:val="0"/>
          <w:iCs w:val="0"/>
          <w:color w:val="000000"/>
          <w:kern w:val="0"/>
          <w:sz w:val="28"/>
          <w:szCs w:val="28"/>
          <w:u w:val="none"/>
          <w:lang w:val="en-US" w:eastAsia="zh-CN" w:bidi="ar"/>
        </w:rPr>
        <w:t>电话：63218382</w:t>
      </w:r>
    </w:p>
    <w:p w14:paraId="56367325">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560" w:firstLineChars="200"/>
        <w:jc w:val="both"/>
        <w:textAlignment w:val="cente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（3）瀍河区新街117号一楼保障科</w:t>
      </w:r>
      <w:r>
        <w:rPr>
          <w:rFonts w:hint="eastAsia" w:ascii="仿宋" w:hAnsi="仿宋" w:eastAsia="仿宋" w:cs="仿宋"/>
          <w:i w:val="0"/>
          <w:iCs w:val="0"/>
          <w:color w:val="000000"/>
          <w:kern w:val="0"/>
          <w:sz w:val="28"/>
          <w:szCs w:val="28"/>
          <w:u w:val="none"/>
          <w:lang w:val="en-US" w:eastAsia="zh-CN" w:bidi="ar"/>
        </w:rPr>
        <w:t>电话：65171960</w:t>
      </w:r>
    </w:p>
    <w:p w14:paraId="5F4478D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（4）涧西区太原路22号（联盟路太原路交叉口）公积金大厦6楼601</w:t>
      </w:r>
      <w:r>
        <w:rPr>
          <w:rFonts w:hint="eastAsia" w:ascii="仿宋" w:hAnsi="仿宋" w:eastAsia="仿宋" w:cs="仿宋"/>
          <w:i w:val="0"/>
          <w:iCs w:val="0"/>
          <w:color w:val="000000"/>
          <w:kern w:val="0"/>
          <w:sz w:val="28"/>
          <w:szCs w:val="28"/>
          <w:u w:val="none"/>
          <w:lang w:val="en-US" w:eastAsia="zh-CN" w:bidi="ar"/>
        </w:rPr>
        <w:t>电话：64150780</w:t>
      </w:r>
    </w:p>
    <w:p w14:paraId="33FBEF3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（5）偃师区首阳大厦（中州大道与首阳街交叉口）行政服务中心保障房窗口</w:t>
      </w:r>
      <w:r>
        <w:rPr>
          <w:rFonts w:hint="eastAsia" w:ascii="仿宋" w:hAnsi="仿宋" w:eastAsia="仿宋" w:cs="仿宋"/>
          <w:i w:val="0"/>
          <w:iCs w:val="0"/>
          <w:color w:val="000000"/>
          <w:kern w:val="0"/>
          <w:sz w:val="28"/>
          <w:szCs w:val="28"/>
          <w:u w:val="none"/>
          <w:lang w:val="en-US" w:eastAsia="zh-CN" w:bidi="ar"/>
        </w:rPr>
        <w:t>电话：67733009</w:t>
      </w:r>
    </w:p>
    <w:p w14:paraId="5352B6E1">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560" w:firstLineChars="200"/>
        <w:jc w:val="both"/>
        <w:textAlignment w:val="cente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（6）孟津区文博艺术中心三楼住房保障和房产服务中心C-02窗口</w:t>
      </w:r>
      <w:r>
        <w:rPr>
          <w:rFonts w:hint="eastAsia" w:ascii="仿宋" w:hAnsi="仿宋" w:eastAsia="仿宋" w:cs="仿宋"/>
          <w:i w:val="0"/>
          <w:iCs w:val="0"/>
          <w:color w:val="000000"/>
          <w:kern w:val="0"/>
          <w:sz w:val="28"/>
          <w:szCs w:val="28"/>
          <w:u w:val="none"/>
          <w:lang w:val="en-US" w:eastAsia="zh-CN" w:bidi="ar"/>
        </w:rPr>
        <w:t>电话：67916038</w:t>
      </w:r>
    </w:p>
    <w:p w14:paraId="03B34330">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（7）洛龙区行政服务中心住建局窗口</w:t>
      </w:r>
      <w:r>
        <w:rPr>
          <w:rFonts w:hint="eastAsia" w:ascii="仿宋" w:hAnsi="仿宋" w:eastAsia="仿宋" w:cs="仿宋"/>
          <w:i w:val="0"/>
          <w:iCs w:val="0"/>
          <w:color w:val="000000"/>
          <w:kern w:val="0"/>
          <w:sz w:val="28"/>
          <w:szCs w:val="28"/>
          <w:u w:val="none"/>
          <w:lang w:val="en-US" w:eastAsia="zh-CN" w:bidi="ar"/>
        </w:rPr>
        <w:t>电话：63322620</w:t>
      </w:r>
    </w:p>
    <w:p w14:paraId="293B0C27">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560" w:firstLineChars="200"/>
        <w:jc w:val="both"/>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b w:val="0"/>
          <w:bCs w:val="0"/>
          <w:sz w:val="28"/>
          <w:szCs w:val="28"/>
          <w:lang w:val="en-US" w:eastAsia="zh-CN"/>
        </w:rPr>
        <w:t>（8）洛阳市城乡一体化示范区科技大厦906</w:t>
      </w:r>
      <w:r>
        <w:rPr>
          <w:rFonts w:hint="eastAsia" w:ascii="仿宋" w:hAnsi="仿宋" w:eastAsia="仿宋" w:cs="仿宋"/>
          <w:i w:val="0"/>
          <w:iCs w:val="0"/>
          <w:color w:val="000000"/>
          <w:kern w:val="0"/>
          <w:sz w:val="28"/>
          <w:szCs w:val="28"/>
          <w:u w:val="none"/>
          <w:lang w:val="en-US" w:eastAsia="zh-CN" w:bidi="ar"/>
        </w:rPr>
        <w:t>电话：69690911</w:t>
      </w:r>
    </w:p>
    <w:p w14:paraId="453AF8BC">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560" w:firstLineChars="200"/>
        <w:jc w:val="both"/>
        <w:textAlignment w:val="cente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（9）新安县城关镇北京路农业大厦行政服务中心1楼住房保障和房产物业服务中心窗口</w:t>
      </w:r>
      <w:r>
        <w:rPr>
          <w:rFonts w:hint="eastAsia" w:ascii="仿宋" w:hAnsi="仿宋" w:eastAsia="仿宋" w:cs="仿宋"/>
          <w:i w:val="0"/>
          <w:iCs w:val="0"/>
          <w:color w:val="000000"/>
          <w:kern w:val="0"/>
          <w:sz w:val="28"/>
          <w:szCs w:val="28"/>
          <w:u w:val="none"/>
          <w:lang w:val="en-US" w:eastAsia="zh-CN" w:bidi="ar"/>
        </w:rPr>
        <w:t>电话：67289635  67290750</w:t>
      </w:r>
    </w:p>
    <w:p w14:paraId="5701551E">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560" w:firstLineChars="200"/>
        <w:jc w:val="both"/>
        <w:textAlignment w:val="cente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（10）栾川县行政服务中心F区12号窗口</w:t>
      </w:r>
      <w:r>
        <w:rPr>
          <w:rFonts w:hint="eastAsia" w:ascii="仿宋" w:hAnsi="仿宋" w:eastAsia="仿宋" w:cs="仿宋"/>
          <w:i w:val="0"/>
          <w:iCs w:val="0"/>
          <w:color w:val="000000"/>
          <w:kern w:val="0"/>
          <w:sz w:val="28"/>
          <w:szCs w:val="28"/>
          <w:u w:val="none"/>
          <w:lang w:val="en-US" w:eastAsia="zh-CN" w:bidi="ar"/>
        </w:rPr>
        <w:t>电话：66873982</w:t>
      </w:r>
    </w:p>
    <w:p w14:paraId="5AEAD537">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560" w:firstLineChars="200"/>
        <w:jc w:val="both"/>
        <w:textAlignment w:val="cente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（11）嵩县行政服务中心房产中心窗口</w:t>
      </w:r>
      <w:r>
        <w:rPr>
          <w:rFonts w:hint="eastAsia" w:ascii="仿宋" w:hAnsi="仿宋" w:eastAsia="仿宋" w:cs="仿宋"/>
          <w:i w:val="0"/>
          <w:iCs w:val="0"/>
          <w:color w:val="000000"/>
          <w:kern w:val="0"/>
          <w:sz w:val="28"/>
          <w:szCs w:val="28"/>
          <w:u w:val="none"/>
          <w:lang w:val="en-US" w:eastAsia="zh-CN" w:bidi="ar"/>
        </w:rPr>
        <w:t>电话：66335383</w:t>
      </w:r>
    </w:p>
    <w:p w14:paraId="0D4AA59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（12）汝阳县行政服务大厅（一楼A06窗口）</w:t>
      </w:r>
      <w:r>
        <w:rPr>
          <w:rFonts w:hint="eastAsia" w:ascii="仿宋" w:hAnsi="仿宋" w:eastAsia="仿宋" w:cs="仿宋"/>
          <w:i w:val="0"/>
          <w:iCs w:val="0"/>
          <w:color w:val="000000"/>
          <w:kern w:val="0"/>
          <w:sz w:val="28"/>
          <w:szCs w:val="28"/>
          <w:u w:val="none"/>
          <w:lang w:val="en-US" w:eastAsia="zh-CN" w:bidi="ar"/>
        </w:rPr>
        <w:t>电话：68290803</w:t>
      </w:r>
    </w:p>
    <w:p w14:paraId="6321796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（13）宜阳县行政服务中心公租房窗口</w:t>
      </w:r>
      <w:r>
        <w:rPr>
          <w:rFonts w:hint="eastAsia" w:ascii="仿宋" w:hAnsi="仿宋" w:eastAsia="仿宋" w:cs="仿宋"/>
          <w:i w:val="0"/>
          <w:iCs w:val="0"/>
          <w:color w:val="000000"/>
          <w:kern w:val="0"/>
          <w:sz w:val="28"/>
          <w:szCs w:val="28"/>
          <w:u w:val="none"/>
          <w:lang w:val="en-US" w:eastAsia="zh-CN" w:bidi="ar"/>
        </w:rPr>
        <w:t>电话：80871101</w:t>
      </w:r>
    </w:p>
    <w:p w14:paraId="6109AB9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（14）洛宁县水务大厦九楼914保障房办公室</w:t>
      </w:r>
      <w:r>
        <w:rPr>
          <w:rFonts w:hint="eastAsia" w:ascii="仿宋" w:hAnsi="仿宋" w:eastAsia="仿宋" w:cs="仿宋"/>
          <w:i w:val="0"/>
          <w:iCs w:val="0"/>
          <w:color w:val="000000"/>
          <w:kern w:val="0"/>
          <w:sz w:val="28"/>
          <w:szCs w:val="28"/>
          <w:u w:val="none"/>
          <w:lang w:val="en-US" w:eastAsia="zh-CN" w:bidi="ar"/>
        </w:rPr>
        <w:t>电话：62939280</w:t>
      </w:r>
    </w:p>
    <w:p w14:paraId="29BADE2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（15）伊川县智慧行政服务中心二楼东区窗口</w:t>
      </w:r>
      <w:r>
        <w:rPr>
          <w:rFonts w:hint="eastAsia" w:ascii="仿宋" w:hAnsi="仿宋" w:eastAsia="仿宋" w:cs="仿宋"/>
          <w:i w:val="0"/>
          <w:iCs w:val="0"/>
          <w:color w:val="000000"/>
          <w:kern w:val="0"/>
          <w:sz w:val="28"/>
          <w:szCs w:val="28"/>
          <w:u w:val="none"/>
          <w:lang w:val="en-US" w:eastAsia="zh-CN" w:bidi="ar"/>
        </w:rPr>
        <w:t>电话：68332692</w:t>
      </w:r>
    </w:p>
    <w:p w14:paraId="7FFDC6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4.问：公租房资格申请通过后怎么办理选房入住？</w:t>
      </w:r>
    </w:p>
    <w:p w14:paraId="771FEA26">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color w:val="000000"/>
          <w:kern w:val="0"/>
          <w:sz w:val="28"/>
          <w:szCs w:val="28"/>
          <w:lang w:val="en-US" w:eastAsia="zh-CN"/>
        </w:rPr>
        <w:t>答：按照县区电话通知或网站通知进行配租选房，根据房源及租金情况与所在县区管理部门签订</w:t>
      </w:r>
      <w:r>
        <w:rPr>
          <w:rFonts w:hint="eastAsia" w:ascii="仿宋" w:hAnsi="仿宋" w:eastAsia="仿宋" w:cs="仿宋"/>
          <w:sz w:val="28"/>
          <w:szCs w:val="28"/>
          <w:lang w:val="en-US" w:eastAsia="zh-CN"/>
        </w:rPr>
        <w:t>租赁合同，然后签订管理规约、承诺书后，领取入住手册，签订物业协议，领取物业相关资料；最后双方共同入户查验，验房领取钥匙。</w:t>
      </w:r>
    </w:p>
    <w:p w14:paraId="0B9ACA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5.问：怎么缴公租房租金？</w:t>
      </w:r>
    </w:p>
    <w:p w14:paraId="74EA59C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color w:val="000000"/>
          <w:kern w:val="0"/>
          <w:sz w:val="28"/>
          <w:szCs w:val="28"/>
          <w:lang w:val="en-US" w:eastAsia="zh-CN"/>
        </w:rPr>
        <w:t>答：</w:t>
      </w:r>
      <w:r>
        <w:rPr>
          <w:rFonts w:hint="eastAsia" w:ascii="仿宋" w:hAnsi="仿宋" w:eastAsia="仿宋" w:cs="仿宋"/>
          <w:sz w:val="28"/>
          <w:szCs w:val="28"/>
          <w:lang w:val="en-US" w:eastAsia="zh-CN"/>
        </w:rPr>
        <w:t>公租房租金缴纳根据县区约定主要有现金或刷卡、银行代扣三种渠道：</w:t>
      </w:r>
    </w:p>
    <w:p w14:paraId="2B255D86">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6.问：我的公租房合同到期，怎样办理续租？</w:t>
      </w:r>
    </w:p>
    <w:p w14:paraId="456847C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color w:val="000000"/>
          <w:kern w:val="0"/>
          <w:sz w:val="28"/>
          <w:szCs w:val="28"/>
          <w:lang w:val="en-US" w:eastAsia="zh-CN"/>
        </w:rPr>
        <w:t>答：</w:t>
      </w:r>
      <w:r>
        <w:rPr>
          <w:rFonts w:hint="eastAsia" w:ascii="仿宋" w:hAnsi="仿宋" w:eastAsia="仿宋" w:cs="仿宋"/>
          <w:sz w:val="28"/>
          <w:szCs w:val="28"/>
          <w:lang w:val="en-US" w:eastAsia="zh-CN"/>
        </w:rPr>
        <w:t>辖区住房保障部门根据租赁协议会先对保障资格进行复核，复核符合条件的进行签订租赁合同。</w:t>
      </w:r>
    </w:p>
    <w:p w14:paraId="6711A70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7.问：公租房可以住多长时间？</w:t>
      </w:r>
    </w:p>
    <w:p w14:paraId="19EB6EE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color w:val="000000"/>
          <w:kern w:val="0"/>
          <w:sz w:val="28"/>
          <w:szCs w:val="28"/>
          <w:lang w:val="en-US" w:eastAsia="zh-CN"/>
        </w:rPr>
        <w:t>答：</w:t>
      </w:r>
      <w:r>
        <w:rPr>
          <w:rFonts w:hint="eastAsia" w:ascii="仿宋" w:hAnsi="仿宋" w:eastAsia="仿宋" w:cs="仿宋"/>
          <w:b w:val="0"/>
          <w:bCs w:val="0"/>
          <w:sz w:val="28"/>
          <w:szCs w:val="28"/>
          <w:lang w:val="en-US" w:eastAsia="zh-CN"/>
        </w:rPr>
        <w:t>符合保障条件的保障家庭可根据自己情况和租赁协议情况选择居住，但居住人要有民事行为能力。</w:t>
      </w:r>
    </w:p>
    <w:p w14:paraId="7C28A78A">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8.问：公租房如何办理退租？</w:t>
      </w:r>
    </w:p>
    <w:p w14:paraId="60F28200">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color w:val="000000"/>
          <w:kern w:val="0"/>
          <w:sz w:val="28"/>
          <w:szCs w:val="28"/>
          <w:lang w:val="en-US" w:eastAsia="zh-CN"/>
        </w:rPr>
        <w:t>答：</w:t>
      </w:r>
      <w:r>
        <w:rPr>
          <w:rFonts w:hint="eastAsia" w:ascii="仿宋" w:hAnsi="仿宋" w:eastAsia="仿宋" w:cs="仿宋"/>
          <w:sz w:val="28"/>
          <w:szCs w:val="28"/>
          <w:lang w:val="en-US" w:eastAsia="zh-CN"/>
        </w:rPr>
        <w:t>在辖区房房源管理部门签订退出申请，结清相关费用（结清证明包含“该房屋水、电、气、暖及物业费费用已结清，屋内设施设备完好无损，钥匙已归还”等内容。）即可。</w:t>
      </w:r>
    </w:p>
    <w:p w14:paraId="62E313FA">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9.问：我的公租房合同会变更吗？</w:t>
      </w:r>
    </w:p>
    <w:p w14:paraId="0FDACB2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color w:val="000000"/>
          <w:kern w:val="0"/>
          <w:sz w:val="28"/>
          <w:szCs w:val="28"/>
          <w:lang w:val="en-US" w:eastAsia="zh-CN"/>
        </w:rPr>
        <w:t>答：</w:t>
      </w:r>
      <w:r>
        <w:rPr>
          <w:rFonts w:hint="eastAsia" w:ascii="仿宋" w:hAnsi="仿宋" w:eastAsia="仿宋" w:cs="仿宋"/>
          <w:sz w:val="28"/>
          <w:szCs w:val="28"/>
          <w:lang w:val="en-US" w:eastAsia="zh-CN"/>
        </w:rPr>
        <w:t>合同变更通常包含以下情形：一是人员、收入等发生变化的，需要先做资格变更，根据资格变更结果做合同变更。一种情况是，承租户家庭人员、收入等发生变化的，承租户自行主动申报的，另一种是动态审核核查出来的。二是承租人在租赁期限内死亡的，有共同居住人，且承租人的共同居住人愿意继续履行本合同，应按规定程序申请审批，经审批符合条件的，可按相关规定办理租赁变更手续，重新签订租赁合同，原合同期不变。</w:t>
      </w:r>
    </w:p>
    <w:p w14:paraId="52B35F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10.问：户口能否迁至承租公租房？</w:t>
      </w:r>
    </w:p>
    <w:p w14:paraId="5CCA001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color w:val="000000"/>
          <w:kern w:val="0"/>
          <w:sz w:val="28"/>
          <w:szCs w:val="28"/>
          <w:lang w:val="en-US" w:eastAsia="zh-CN"/>
        </w:rPr>
        <w:t>答：</w:t>
      </w:r>
      <w:r>
        <w:rPr>
          <w:rFonts w:hint="eastAsia" w:ascii="仿宋" w:hAnsi="仿宋" w:eastAsia="仿宋" w:cs="仿宋"/>
          <w:sz w:val="28"/>
          <w:szCs w:val="28"/>
          <w:lang w:val="en-US" w:eastAsia="zh-CN"/>
        </w:rPr>
        <w:t>不可以，户口可迁至租住小区所在办事处的集体户口上。</w:t>
      </w:r>
    </w:p>
    <w:p w14:paraId="19914DB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11.问：离婚变更承租人问题？</w:t>
      </w:r>
    </w:p>
    <w:p w14:paraId="43CC8FB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color w:val="000000"/>
          <w:kern w:val="0"/>
          <w:sz w:val="28"/>
          <w:szCs w:val="28"/>
          <w:lang w:val="en-US" w:eastAsia="zh-CN"/>
        </w:rPr>
        <w:t>答：</w:t>
      </w:r>
      <w:r>
        <w:rPr>
          <w:rFonts w:hint="eastAsia" w:ascii="仿宋" w:hAnsi="仿宋" w:eastAsia="仿宋" w:cs="仿宋"/>
          <w:sz w:val="28"/>
          <w:szCs w:val="28"/>
          <w:lang w:val="en-US" w:eastAsia="zh-CN"/>
        </w:rPr>
        <w:t>实物配租在保对象，离婚且双方能协商形成一致意见的，按照双方协商的意见办理变更手续；夫妻双方携带离婚证，离婚协议，身份证等证件去区住房保障服务中心，由一方签署自愿放弃书，另一方可以继续承租。双方不能协商形成一致意见的，共同申请人退出保障；离婚证、离婚协议丢失的要去民政局补办。</w:t>
      </w:r>
    </w:p>
    <w:p w14:paraId="3DBFBC5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both"/>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12.问：公租房可以申请调换房吗?</w:t>
      </w:r>
    </w:p>
    <w:p w14:paraId="2ECC711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0"/>
          <w:sz w:val="28"/>
          <w:szCs w:val="28"/>
          <w:lang w:val="en-US" w:eastAsia="zh-CN"/>
        </w:rPr>
        <w:t>答：</w:t>
      </w:r>
      <w:r>
        <w:rPr>
          <w:rFonts w:hint="eastAsia" w:ascii="仿宋" w:hAnsi="仿宋" w:eastAsia="仿宋" w:cs="仿宋"/>
          <w:color w:val="auto"/>
          <w:sz w:val="28"/>
          <w:szCs w:val="28"/>
          <w:lang w:val="en-US" w:eastAsia="zh-CN"/>
        </w:rPr>
        <w:t>已承租家庭因身体、就业、子女就学等原因可以申请调换房，详细流程可向辖区住房保障部门申请咨询办理。目前仅支持线下办理。</w:t>
      </w:r>
    </w:p>
    <w:p w14:paraId="05054C1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both"/>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13.问：</w:t>
      </w:r>
      <w:r>
        <w:rPr>
          <w:rFonts w:hint="eastAsia" w:ascii="仿宋" w:hAnsi="仿宋" w:eastAsia="仿宋" w:cs="仿宋"/>
          <w:b/>
          <w:bCs/>
          <w:sz w:val="28"/>
          <w:szCs w:val="28"/>
          <w:lang w:val="en-US" w:eastAsia="zh-CN"/>
        </w:rPr>
        <w:t>65岁以上可以申请公租房的</w:t>
      </w:r>
      <w:r>
        <w:rPr>
          <w:rFonts w:hint="eastAsia" w:ascii="仿宋" w:hAnsi="仿宋" w:eastAsia="仿宋" w:cs="仿宋"/>
          <w:b/>
          <w:bCs/>
          <w:color w:val="auto"/>
          <w:sz w:val="28"/>
          <w:szCs w:val="28"/>
          <w:lang w:val="en-US" w:eastAsia="zh-CN"/>
        </w:rPr>
        <w:t>房吗?</w:t>
      </w:r>
    </w:p>
    <w:p w14:paraId="0835BC5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color w:val="auto"/>
          <w:kern w:val="0"/>
          <w:sz w:val="28"/>
          <w:szCs w:val="28"/>
          <w:lang w:val="en-US" w:eastAsia="zh-CN"/>
        </w:rPr>
        <w:t>答：</w:t>
      </w:r>
      <w:r>
        <w:rPr>
          <w:rFonts w:hint="eastAsia" w:ascii="仿宋" w:hAnsi="仿宋" w:eastAsia="仿宋" w:cs="仿宋"/>
          <w:sz w:val="28"/>
          <w:szCs w:val="28"/>
          <w:lang w:val="en-US" w:eastAsia="zh-CN"/>
        </w:rPr>
        <w:t>65岁以上申请公租房的，需有陪护人共同申请，且申请人与陪护人之间有法定的赡养、抚养或者扶养关系（孤寡除外），且申请人居有民事行为能力。</w:t>
      </w:r>
    </w:p>
    <w:p w14:paraId="61FB0F3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both"/>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14.问：</w:t>
      </w:r>
      <w:r>
        <w:rPr>
          <w:rFonts w:hint="eastAsia" w:ascii="仿宋" w:hAnsi="仿宋" w:eastAsia="仿宋" w:cs="仿宋"/>
          <w:b/>
          <w:bCs/>
          <w:sz w:val="28"/>
          <w:szCs w:val="28"/>
          <w:lang w:val="en-US" w:eastAsia="zh-CN"/>
        </w:rPr>
        <w:t>申请家庭已在本市享受过拆迁安置房、经适房、房改房的能否享受公租房保障</w:t>
      </w:r>
      <w:r>
        <w:rPr>
          <w:rFonts w:hint="eastAsia" w:ascii="仿宋" w:hAnsi="仿宋" w:eastAsia="仿宋" w:cs="仿宋"/>
          <w:b/>
          <w:bCs/>
          <w:color w:val="auto"/>
          <w:sz w:val="28"/>
          <w:szCs w:val="28"/>
          <w:lang w:val="en-US" w:eastAsia="zh-CN"/>
        </w:rPr>
        <w:t>吗?</w:t>
      </w:r>
    </w:p>
    <w:p w14:paraId="328788A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答：不可以</w:t>
      </w:r>
      <w:r>
        <w:rPr>
          <w:rFonts w:hint="eastAsia" w:ascii="仿宋" w:hAnsi="仿宋" w:eastAsia="仿宋" w:cs="仿宋"/>
          <w:sz w:val="28"/>
          <w:szCs w:val="28"/>
          <w:lang w:val="en-US" w:eastAsia="zh-CN"/>
        </w:rPr>
        <w:t>（因重大疾病或家庭重大变故等不可抗拒原因并能提供相关证明材料除外），</w:t>
      </w:r>
      <w:r>
        <w:rPr>
          <w:rFonts w:hint="eastAsia" w:ascii="仿宋" w:hAnsi="仿宋" w:eastAsia="仿宋" w:cs="仿宋"/>
          <w:color w:val="auto"/>
          <w:kern w:val="0"/>
          <w:sz w:val="28"/>
          <w:szCs w:val="28"/>
          <w:lang w:val="en-US" w:eastAsia="zh-CN"/>
        </w:rPr>
        <w:t>因已经享受过保障性住房政策优惠。</w:t>
      </w:r>
    </w:p>
    <w:p w14:paraId="011165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both"/>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kern w:val="0"/>
          <w:sz w:val="28"/>
          <w:szCs w:val="28"/>
          <w:lang w:val="en-US" w:eastAsia="zh-CN"/>
        </w:rPr>
        <w:t>15.问：申请家庭车辆有什么要求</w:t>
      </w:r>
      <w:r>
        <w:rPr>
          <w:rFonts w:hint="eastAsia" w:ascii="仿宋" w:hAnsi="仿宋" w:eastAsia="仿宋" w:cs="仿宋"/>
          <w:b/>
          <w:bCs/>
          <w:color w:val="auto"/>
          <w:sz w:val="28"/>
          <w:szCs w:val="28"/>
          <w:lang w:val="en-US" w:eastAsia="zh-CN"/>
        </w:rPr>
        <w:t>?</w:t>
      </w:r>
    </w:p>
    <w:p w14:paraId="20C7C5A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b/>
          <w:bCs/>
          <w:color w:val="auto"/>
          <w:sz w:val="28"/>
          <w:szCs w:val="28"/>
          <w:lang w:val="en-US" w:eastAsia="zh-CN"/>
        </w:rPr>
      </w:pPr>
      <w:r>
        <w:rPr>
          <w:rFonts w:hint="eastAsia" w:ascii="仿宋" w:hAnsi="仿宋" w:eastAsia="仿宋" w:cs="仿宋"/>
          <w:color w:val="auto"/>
          <w:kern w:val="0"/>
          <w:sz w:val="28"/>
          <w:szCs w:val="28"/>
          <w:lang w:val="en-US" w:eastAsia="zh-CN"/>
        </w:rPr>
        <w:t>答：</w:t>
      </w:r>
      <w:r>
        <w:rPr>
          <w:rFonts w:hint="eastAsia" w:ascii="仿宋" w:hAnsi="仿宋" w:eastAsia="仿宋" w:cs="仿宋"/>
          <w:sz w:val="28"/>
          <w:szCs w:val="28"/>
          <w:lang w:val="en-US" w:eastAsia="zh-CN"/>
        </w:rPr>
        <w:t>申请家庭购有10万元（以车辆购置税发票上计税金额为准）以上非营运车辆或2台以上</w:t>
      </w:r>
      <w:r>
        <w:rPr>
          <w:rFonts w:hint="eastAsia" w:ascii="仿宋" w:hAnsi="仿宋" w:eastAsia="仿宋" w:cs="仿宋"/>
          <w:strike w:val="0"/>
          <w:dstrike w:val="0"/>
          <w:color w:val="000000" w:themeColor="text1"/>
          <w:sz w:val="28"/>
          <w:szCs w:val="28"/>
          <w:lang w:val="en-US" w:eastAsia="zh-CN"/>
          <w14:textFill>
            <w14:solidFill>
              <w14:schemeClr w14:val="tx1"/>
            </w14:solidFill>
          </w14:textFill>
        </w:rPr>
        <w:t>机动</w:t>
      </w:r>
      <w:r>
        <w:rPr>
          <w:rFonts w:hint="eastAsia" w:ascii="仿宋" w:hAnsi="仿宋" w:eastAsia="仿宋" w:cs="仿宋"/>
          <w:sz w:val="28"/>
          <w:szCs w:val="28"/>
          <w:lang w:val="en-US" w:eastAsia="zh-CN"/>
        </w:rPr>
        <w:t>车辆。</w:t>
      </w:r>
    </w:p>
    <w:p w14:paraId="4F5DDD54">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sz w:val="28"/>
          <w:szCs w:val="28"/>
          <w:lang w:val="en-US" w:eastAsia="zh-CN"/>
        </w:rPr>
        <w:t>16.问：申请人员对工商有什么要</w:t>
      </w:r>
      <w:r>
        <w:rPr>
          <w:rFonts w:hint="eastAsia" w:ascii="仿宋" w:hAnsi="仿宋" w:eastAsia="仿宋" w:cs="仿宋"/>
          <w:color w:val="auto"/>
          <w:kern w:val="0"/>
          <w:sz w:val="28"/>
          <w:szCs w:val="28"/>
          <w:lang w:val="en-US" w:eastAsia="zh-CN"/>
        </w:rPr>
        <w:t>求</w:t>
      </w:r>
      <w:r>
        <w:rPr>
          <w:rFonts w:hint="eastAsia" w:ascii="仿宋" w:hAnsi="仿宋" w:eastAsia="仿宋" w:cs="仿宋"/>
          <w:b/>
          <w:bCs/>
          <w:color w:val="auto"/>
          <w:sz w:val="28"/>
          <w:szCs w:val="28"/>
          <w:lang w:val="en-US" w:eastAsia="zh-CN"/>
        </w:rPr>
        <w:t>?</w:t>
      </w:r>
    </w:p>
    <w:p w14:paraId="0EB4AEA7">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color w:val="auto"/>
          <w:kern w:val="0"/>
          <w:sz w:val="28"/>
          <w:szCs w:val="28"/>
          <w:lang w:val="en-US" w:eastAsia="zh-CN"/>
        </w:rPr>
        <w:t>答：</w:t>
      </w:r>
      <w:r>
        <w:rPr>
          <w:rFonts w:hint="eastAsia" w:ascii="仿宋" w:hAnsi="仿宋" w:eastAsia="仿宋" w:cs="仿宋"/>
          <w:sz w:val="28"/>
          <w:szCs w:val="28"/>
          <w:lang w:val="en-US" w:eastAsia="zh-CN"/>
        </w:rPr>
        <w:t>申请家庭在本市名下有注册公司或在公司里担任理事、监事、股东等不能享受公租房保障。</w:t>
      </w:r>
    </w:p>
    <w:p w14:paraId="56DBC22A">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sz w:val="28"/>
          <w:szCs w:val="28"/>
          <w:lang w:val="en-US" w:eastAsia="zh-CN"/>
        </w:rPr>
        <w:t>17.问：曾恶意占用公租房、恶意拖欠租金被起诉或已经被强制清退的，可以不可以再次申请公租房</w:t>
      </w:r>
      <w:r>
        <w:rPr>
          <w:rFonts w:hint="eastAsia" w:ascii="仿宋" w:hAnsi="仿宋" w:eastAsia="仿宋" w:cs="仿宋"/>
          <w:b/>
          <w:bCs/>
          <w:color w:val="auto"/>
          <w:sz w:val="28"/>
          <w:szCs w:val="28"/>
          <w:lang w:val="en-US" w:eastAsia="zh-CN"/>
        </w:rPr>
        <w:t>?</w:t>
      </w:r>
    </w:p>
    <w:p w14:paraId="7D3325DA">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答：不可以，对信誉差的人员不再纳入保障范围。</w:t>
      </w:r>
    </w:p>
    <w:p w14:paraId="1B693A89">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sz w:val="28"/>
          <w:szCs w:val="28"/>
          <w:lang w:val="en-US" w:eastAsia="zh-CN"/>
        </w:rPr>
        <w:t>18.问：收入如何计算、我没有正式工作，收入如何计算</w:t>
      </w:r>
      <w:r>
        <w:rPr>
          <w:rFonts w:hint="eastAsia" w:ascii="仿宋" w:hAnsi="仿宋" w:eastAsia="仿宋" w:cs="仿宋"/>
          <w:b/>
          <w:bCs/>
          <w:color w:val="auto"/>
          <w:sz w:val="28"/>
          <w:szCs w:val="28"/>
          <w:lang w:val="en-US" w:eastAsia="zh-CN"/>
        </w:rPr>
        <w:t>?</w:t>
      </w:r>
    </w:p>
    <w:p w14:paraId="7203DA5B">
      <w:pPr>
        <w:keepNext w:val="0"/>
        <w:keepLines w:val="0"/>
        <w:pageBreakBefore w:val="0"/>
        <w:widowControl w:val="0"/>
        <w:numPr>
          <w:ilvl w:val="0"/>
          <w:numId w:val="0"/>
        </w:numPr>
        <w:kinsoku/>
        <w:wordWrap/>
        <w:topLinePunct w:val="0"/>
        <w:autoSpaceDE/>
        <w:autoSpaceDN/>
        <w:bidi w:val="0"/>
        <w:adjustRightInd/>
        <w:snapToGrid/>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 xml:space="preserve">公积金、养老保险推算月收入方法。根据公积金、养老保险推算出月收入，按照就高原则取最高值确定。 </w:t>
      </w:r>
    </w:p>
    <w:p w14:paraId="76AD53C1">
      <w:pPr>
        <w:keepNext w:val="0"/>
        <w:keepLines w:val="0"/>
        <w:pageBreakBefore w:val="0"/>
        <w:widowControl w:val="0"/>
        <w:numPr>
          <w:ilvl w:val="0"/>
          <w:numId w:val="0"/>
        </w:numPr>
        <w:kinsoku/>
        <w:wordWrap/>
        <w:topLinePunct w:val="0"/>
        <w:autoSpaceDE/>
        <w:autoSpaceDN/>
        <w:bidi w:val="0"/>
        <w:adjustRightInd/>
        <w:snapToGrid/>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rPr>
        <w:t xml:space="preserve">公积金推算方法为：缴存基数=月收入； </w:t>
      </w:r>
    </w:p>
    <w:p w14:paraId="255948BC">
      <w:pPr>
        <w:keepNext w:val="0"/>
        <w:keepLines w:val="0"/>
        <w:pageBreakBefore w:val="0"/>
        <w:widowControl w:val="0"/>
        <w:numPr>
          <w:ilvl w:val="0"/>
          <w:numId w:val="0"/>
        </w:numPr>
        <w:kinsoku/>
        <w:wordWrap/>
        <w:topLinePunct w:val="0"/>
        <w:autoSpaceDE/>
        <w:autoSpaceDN/>
        <w:bidi w:val="0"/>
        <w:adjustRightInd/>
        <w:snapToGrid/>
        <w:spacing w:line="240" w:lineRule="auto"/>
        <w:ind w:leftChars="0"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rPr>
        <w:t>养老保险推算方法为：</w:t>
      </w:r>
    </w:p>
    <w:p w14:paraId="7D2211A9">
      <w:pPr>
        <w:keepNext w:val="0"/>
        <w:keepLines w:val="0"/>
        <w:pageBreakBefore w:val="0"/>
        <w:widowControl w:val="0"/>
        <w:numPr>
          <w:ilvl w:val="0"/>
          <w:numId w:val="0"/>
        </w:numPr>
        <w:kinsoku/>
        <w:wordWrap/>
        <w:topLinePunct w:val="0"/>
        <w:autoSpaceDE/>
        <w:autoSpaceDN/>
        <w:bidi w:val="0"/>
        <w:adjustRightInd/>
        <w:snapToGrid/>
        <w:spacing w:line="240" w:lineRule="auto"/>
        <w:ind w:leftChars="0" w:firstLine="560" w:firstLineChars="200"/>
        <w:rPr>
          <w:rFonts w:hint="eastAsia" w:ascii="仿宋" w:hAnsi="仿宋" w:eastAsia="仿宋" w:cs="仿宋"/>
          <w:sz w:val="28"/>
          <w:szCs w:val="28"/>
        </w:rPr>
      </w:pPr>
      <w:r>
        <w:rPr>
          <w:rFonts w:hint="eastAsia" w:ascii="仿宋" w:hAnsi="仿宋" w:eastAsia="仿宋" w:cs="仿宋"/>
          <w:sz w:val="28"/>
          <w:szCs w:val="28"/>
        </w:rPr>
        <w:t xml:space="preserve">①职工养老保险缴纳基数=月收入； </w:t>
      </w:r>
    </w:p>
    <w:p w14:paraId="7C28BA6B">
      <w:pPr>
        <w:keepNext w:val="0"/>
        <w:keepLines w:val="0"/>
        <w:pageBreakBefore w:val="0"/>
        <w:widowControl w:val="0"/>
        <w:numPr>
          <w:ilvl w:val="0"/>
          <w:numId w:val="0"/>
        </w:numPr>
        <w:kinsoku/>
        <w:wordWrap/>
        <w:topLinePunct w:val="0"/>
        <w:autoSpaceDE/>
        <w:autoSpaceDN/>
        <w:bidi w:val="0"/>
        <w:adjustRightInd/>
        <w:snapToGrid/>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②灵活就业人员依照</w:t>
      </w:r>
      <w:r>
        <w:rPr>
          <w:rFonts w:hint="eastAsia" w:ascii="仿宋" w:hAnsi="仿宋" w:eastAsia="仿宋" w:cs="仿宋"/>
          <w:sz w:val="28"/>
          <w:szCs w:val="28"/>
          <w:lang w:eastAsia="zh-CN"/>
        </w:rPr>
        <w:t>洛阳</w:t>
      </w:r>
      <w:r>
        <w:rPr>
          <w:rFonts w:hint="eastAsia" w:ascii="仿宋" w:hAnsi="仿宋" w:eastAsia="仿宋" w:cs="仿宋"/>
          <w:sz w:val="28"/>
          <w:szCs w:val="28"/>
        </w:rPr>
        <w:t xml:space="preserve">市社会保险部门确定的年度灵活就业人员养老保险缴基数认定，灵活就业人员养老保险缴纳基数 =月收入； </w:t>
      </w:r>
    </w:p>
    <w:p w14:paraId="353283F3">
      <w:pPr>
        <w:keepNext w:val="0"/>
        <w:keepLines w:val="0"/>
        <w:pageBreakBefore w:val="0"/>
        <w:widowControl w:val="0"/>
        <w:numPr>
          <w:ilvl w:val="0"/>
          <w:numId w:val="0"/>
        </w:numPr>
        <w:kinsoku/>
        <w:wordWrap/>
        <w:topLinePunct w:val="0"/>
        <w:autoSpaceDE/>
        <w:autoSpaceDN/>
        <w:bidi w:val="0"/>
        <w:adjustRightInd/>
        <w:snapToGrid/>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③居民养老保险缴纳按当年度我市最低工资标准认定，当年度我市最低工资标准=月收入；</w:t>
      </w:r>
    </w:p>
    <w:p w14:paraId="3172C85B">
      <w:pPr>
        <w:keepNext w:val="0"/>
        <w:keepLines w:val="0"/>
        <w:pageBreakBefore w:val="0"/>
        <w:widowControl w:val="0"/>
        <w:numPr>
          <w:ilvl w:val="0"/>
          <w:numId w:val="0"/>
        </w:numPr>
        <w:kinsoku/>
        <w:wordWrap/>
        <w:topLinePunct w:val="0"/>
        <w:autoSpaceDE/>
        <w:autoSpaceDN/>
        <w:bidi w:val="0"/>
        <w:adjustRightInd/>
        <w:snapToGrid/>
        <w:spacing w:line="240" w:lineRule="auto"/>
        <w:ind w:leftChars="0"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退休人员根据本人提交申请之日前 6个月银行退休工资明细认定，6个月退休工资的平均数=</w:t>
      </w:r>
      <w:r>
        <w:rPr>
          <w:rFonts w:hint="eastAsia" w:ascii="仿宋" w:hAnsi="仿宋" w:eastAsia="仿宋" w:cs="仿宋"/>
          <w:sz w:val="28"/>
          <w:szCs w:val="28"/>
          <w:lang w:eastAsia="zh-CN"/>
        </w:rPr>
        <w:t>月收入</w:t>
      </w:r>
      <w:r>
        <w:rPr>
          <w:rFonts w:hint="eastAsia" w:ascii="仿宋" w:hAnsi="仿宋" w:eastAsia="仿宋" w:cs="仿宋"/>
          <w:sz w:val="28"/>
          <w:szCs w:val="28"/>
        </w:rPr>
        <w:t>（退休不足 6 个月的按照实际月数的平均数）。</w:t>
      </w:r>
    </w:p>
    <w:p w14:paraId="1FA12329">
      <w:pPr>
        <w:keepNext w:val="0"/>
        <w:keepLines w:val="0"/>
        <w:pageBreakBefore w:val="0"/>
        <w:widowControl w:val="0"/>
        <w:numPr>
          <w:ilvl w:val="0"/>
          <w:numId w:val="0"/>
        </w:numPr>
        <w:kinsoku/>
        <w:wordWrap/>
        <w:topLinePunct w:val="0"/>
        <w:autoSpaceDE/>
        <w:autoSpaceDN/>
        <w:bidi w:val="0"/>
        <w:adjustRightInd/>
        <w:snapToGrid/>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3.本市市区户籍无社保或公积金缴纳信息人员推算月收入方法。</w:t>
      </w:r>
    </w:p>
    <w:p w14:paraId="50545447">
      <w:pPr>
        <w:keepNext w:val="0"/>
        <w:keepLines w:val="0"/>
        <w:pageBreakBefore w:val="0"/>
        <w:widowControl w:val="0"/>
        <w:numPr>
          <w:ilvl w:val="0"/>
          <w:numId w:val="0"/>
        </w:numPr>
        <w:kinsoku/>
        <w:wordWrap/>
        <w:topLinePunct w:val="0"/>
        <w:autoSpaceDE/>
        <w:autoSpaceDN/>
        <w:bidi w:val="0"/>
        <w:adjustRightInd/>
        <w:snapToGrid/>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根据申请人申报的月收入或当年度我市最低工资标准，按照就高原则，取最高值确定。18 周岁到 60 周岁申报零收入的</w:t>
      </w:r>
      <w:r>
        <w:rPr>
          <w:rFonts w:hint="eastAsia" w:ascii="仿宋" w:hAnsi="仿宋" w:eastAsia="仿宋" w:cs="仿宋"/>
          <w:sz w:val="28"/>
          <w:szCs w:val="28"/>
          <w:lang w:eastAsia="zh-CN"/>
        </w:rPr>
        <w:t>，</w:t>
      </w:r>
      <w:r>
        <w:rPr>
          <w:rFonts w:hint="eastAsia" w:ascii="仿宋" w:hAnsi="仿宋" w:eastAsia="仿宋" w:cs="仿宋"/>
          <w:sz w:val="28"/>
          <w:szCs w:val="28"/>
        </w:rPr>
        <w:t>应出具在校证件或无劳动能力鉴定材料。</w:t>
      </w:r>
    </w:p>
    <w:p w14:paraId="4C4AAA1B">
      <w:pPr>
        <w:keepNext w:val="0"/>
        <w:keepLines w:val="0"/>
        <w:pageBreakBefore w:val="0"/>
        <w:widowControl w:val="0"/>
        <w:kinsoku/>
        <w:wordWrap/>
        <w:topLinePunct w:val="0"/>
        <w:autoSpaceDE/>
        <w:autoSpaceDN/>
        <w:bidi w:val="0"/>
        <w:adjustRightInd/>
        <w:snapToGrid/>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2023</w:t>
      </w:r>
      <w:r>
        <w:rPr>
          <w:rFonts w:hint="eastAsia" w:ascii="仿宋" w:hAnsi="仿宋" w:eastAsia="仿宋" w:cs="仿宋"/>
          <w:sz w:val="28"/>
          <w:szCs w:val="28"/>
        </w:rPr>
        <w:t>年全市居民人均可支配收入</w:t>
      </w:r>
      <w:r>
        <w:rPr>
          <w:rFonts w:hint="eastAsia" w:ascii="仿宋" w:hAnsi="仿宋" w:eastAsia="仿宋" w:cs="仿宋"/>
          <w:sz w:val="28"/>
          <w:szCs w:val="28"/>
          <w:lang w:val="en-US" w:eastAsia="zh-CN"/>
        </w:rPr>
        <w:t>33662</w:t>
      </w:r>
      <w:r>
        <w:rPr>
          <w:rFonts w:hint="eastAsia" w:ascii="仿宋" w:hAnsi="仿宋" w:eastAsia="仿宋" w:cs="仿宋"/>
          <w:sz w:val="28"/>
          <w:szCs w:val="28"/>
        </w:rPr>
        <w:t>元，城镇居民人均可支配收入</w:t>
      </w:r>
      <w:r>
        <w:rPr>
          <w:rFonts w:hint="eastAsia" w:ascii="仿宋" w:hAnsi="仿宋" w:eastAsia="仿宋" w:cs="仿宋"/>
          <w:sz w:val="28"/>
          <w:szCs w:val="28"/>
          <w:lang w:val="en-US" w:eastAsia="zh-CN"/>
        </w:rPr>
        <w:t>45727</w:t>
      </w:r>
      <w:r>
        <w:rPr>
          <w:rFonts w:hint="eastAsia" w:ascii="仿宋" w:hAnsi="仿宋" w:eastAsia="仿宋" w:cs="仿宋"/>
          <w:sz w:val="28"/>
          <w:szCs w:val="28"/>
        </w:rPr>
        <w:t>元，农村居民人均可支配收入</w:t>
      </w:r>
      <w:r>
        <w:rPr>
          <w:rFonts w:hint="eastAsia" w:ascii="仿宋" w:hAnsi="仿宋" w:eastAsia="仿宋" w:cs="仿宋"/>
          <w:sz w:val="28"/>
          <w:szCs w:val="28"/>
          <w:lang w:val="en-US" w:eastAsia="zh-CN"/>
        </w:rPr>
        <w:t>19734</w:t>
      </w:r>
      <w:r>
        <w:rPr>
          <w:rFonts w:hint="eastAsia" w:ascii="仿宋" w:hAnsi="仿宋" w:eastAsia="仿宋" w:cs="仿宋"/>
          <w:sz w:val="28"/>
          <w:szCs w:val="28"/>
        </w:rPr>
        <w:t>元。</w:t>
      </w:r>
    </w:p>
    <w:p w14:paraId="48D33667">
      <w:pPr>
        <w:keepNext w:val="0"/>
        <w:keepLines w:val="0"/>
        <w:pageBreakBefore w:val="0"/>
        <w:widowControl w:val="0"/>
        <w:numPr>
          <w:ilvl w:val="0"/>
          <w:numId w:val="0"/>
        </w:numPr>
        <w:kinsoku/>
        <w:wordWrap/>
        <w:topLinePunct w:val="0"/>
        <w:autoSpaceDE/>
        <w:autoSpaceDN/>
        <w:bidi w:val="0"/>
        <w:adjustRightInd/>
        <w:snapToGrid/>
        <w:spacing w:line="240" w:lineRule="auto"/>
        <w:ind w:firstLine="560" w:firstLineChars="200"/>
        <w:jc w:val="both"/>
        <w:rPr>
          <w:rFonts w:hint="eastAsia" w:ascii="仿宋" w:hAnsi="仿宋" w:eastAsia="仿宋" w:cs="仿宋"/>
          <w:b/>
          <w:bCs/>
          <w:color w:val="auto"/>
          <w:sz w:val="28"/>
          <w:szCs w:val="28"/>
          <w:lang w:val="en-US" w:eastAsia="zh-CN"/>
        </w:rPr>
      </w:pPr>
      <w:r>
        <w:rPr>
          <w:rFonts w:hint="eastAsia" w:ascii="仿宋" w:hAnsi="仿宋" w:eastAsia="仿宋" w:cs="仿宋"/>
          <w:i w:val="0"/>
          <w:iCs w:val="0"/>
          <w:caps w:val="0"/>
          <w:color w:val="1E1F24"/>
          <w:spacing w:val="0"/>
          <w:kern w:val="0"/>
          <w:sz w:val="28"/>
          <w:szCs w:val="28"/>
          <w:lang w:val="en-US" w:eastAsia="zh-CN" w:bidi="ar"/>
        </w:rPr>
        <w:t>2023洛阳市工资标准：</w:t>
      </w:r>
      <w:r>
        <w:rPr>
          <w:rFonts w:hint="eastAsia" w:ascii="仿宋" w:hAnsi="仿宋" w:eastAsia="仿宋" w:cs="仿宋"/>
          <w:i w:val="0"/>
          <w:iCs w:val="0"/>
          <w:caps w:val="0"/>
          <w:color w:val="000000"/>
          <w:spacing w:val="0"/>
          <w:sz w:val="28"/>
          <w:szCs w:val="28"/>
          <w:shd w:val="clear" w:color="auto" w:fill="FFFFFF"/>
        </w:rPr>
        <w:t>一类行政区域月最低工资标准2100元，小时最低工资标准20.6元 ；二类行政区域月最低工资标准2000元，小时最低工资标准19.6元；三类行政区域月最低工资标准1800元，小时最低工资标准17.6元。</w:t>
      </w:r>
      <w:r>
        <w:rPr>
          <w:rFonts w:hint="eastAsia" w:ascii="仿宋" w:hAnsi="仿宋" w:eastAsia="仿宋" w:cs="仿宋"/>
          <w:i w:val="0"/>
          <w:iCs w:val="0"/>
          <w:caps w:val="0"/>
          <w:color w:val="000000"/>
          <w:spacing w:val="0"/>
          <w:sz w:val="28"/>
          <w:szCs w:val="28"/>
          <w:shd w:val="clear" w:color="auto" w:fill="FFFFFF"/>
          <w:lang w:val="en-US" w:eastAsia="zh-CN"/>
        </w:rPr>
        <w:t>(一类行政区：市区、栾川县、新安县；二类行政区：伊川县、宜阳县、洛宁县、嵩县、汝阳县）</w:t>
      </w:r>
    </w:p>
    <w:sectPr>
      <w:pgSz w:w="11906" w:h="16838"/>
      <w:pgMar w:top="1327" w:right="1080" w:bottom="1440" w:left="10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45223">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8BCAA">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910AB0"/>
    <w:multiLevelType w:val="singleLevel"/>
    <w:tmpl w:val="51910AB0"/>
    <w:lvl w:ilvl="0" w:tentative="0">
      <w:start w:val="5"/>
      <w:numFmt w:val="chineseCounting"/>
      <w:suff w:val="nothing"/>
      <w:lvlText w:val="%1、"/>
      <w:lvlJc w:val="left"/>
      <w:rPr>
        <w:rFonts w:hint="eastAsia"/>
      </w:rPr>
    </w:lvl>
  </w:abstractNum>
  <w:abstractNum w:abstractNumId="1">
    <w:nsid w:val="71FDC973"/>
    <w:multiLevelType w:val="singleLevel"/>
    <w:tmpl w:val="71FDC973"/>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3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mNWRhZDA4MTQ0MTQ3NTFiNzY5MjFhMWFjMGNmZmIifQ=="/>
  </w:docVars>
  <w:rsids>
    <w:rsidRoot w:val="00000000"/>
    <w:rsid w:val="047C5503"/>
    <w:rsid w:val="05F459D7"/>
    <w:rsid w:val="07400BEB"/>
    <w:rsid w:val="07612B1A"/>
    <w:rsid w:val="085526A2"/>
    <w:rsid w:val="099F5843"/>
    <w:rsid w:val="0BA457DB"/>
    <w:rsid w:val="0CF84031"/>
    <w:rsid w:val="0EA7186A"/>
    <w:rsid w:val="0EEF7448"/>
    <w:rsid w:val="113E5D8A"/>
    <w:rsid w:val="11DB5D2C"/>
    <w:rsid w:val="11E23A26"/>
    <w:rsid w:val="159F2869"/>
    <w:rsid w:val="17AB7234"/>
    <w:rsid w:val="1A440B1A"/>
    <w:rsid w:val="1E3D5D47"/>
    <w:rsid w:val="1EC04409"/>
    <w:rsid w:val="205729C5"/>
    <w:rsid w:val="226A1D78"/>
    <w:rsid w:val="22AD499B"/>
    <w:rsid w:val="26345F01"/>
    <w:rsid w:val="288C0027"/>
    <w:rsid w:val="29737ADA"/>
    <w:rsid w:val="29CD538C"/>
    <w:rsid w:val="2A9A51F6"/>
    <w:rsid w:val="2B1F6093"/>
    <w:rsid w:val="2B366FC6"/>
    <w:rsid w:val="2BE953B6"/>
    <w:rsid w:val="2C4051F9"/>
    <w:rsid w:val="2C925CF9"/>
    <w:rsid w:val="2CDA3BBD"/>
    <w:rsid w:val="2CEE40C1"/>
    <w:rsid w:val="2EB539C8"/>
    <w:rsid w:val="33B72B74"/>
    <w:rsid w:val="343B79A2"/>
    <w:rsid w:val="39C173D5"/>
    <w:rsid w:val="3AC52EF5"/>
    <w:rsid w:val="3B8D02F3"/>
    <w:rsid w:val="3C9C1A33"/>
    <w:rsid w:val="3E9E3CAB"/>
    <w:rsid w:val="40D05E19"/>
    <w:rsid w:val="40E53B25"/>
    <w:rsid w:val="42FD478E"/>
    <w:rsid w:val="43DE33C7"/>
    <w:rsid w:val="451B19F1"/>
    <w:rsid w:val="46A4315F"/>
    <w:rsid w:val="47A345BE"/>
    <w:rsid w:val="48CE35FE"/>
    <w:rsid w:val="48DD302B"/>
    <w:rsid w:val="49C42593"/>
    <w:rsid w:val="4BA9367E"/>
    <w:rsid w:val="4F6D181A"/>
    <w:rsid w:val="4FA32279"/>
    <w:rsid w:val="51F33F9E"/>
    <w:rsid w:val="550549AE"/>
    <w:rsid w:val="58934C9A"/>
    <w:rsid w:val="59B36A78"/>
    <w:rsid w:val="5C4051AD"/>
    <w:rsid w:val="5C513794"/>
    <w:rsid w:val="5DEF2BD0"/>
    <w:rsid w:val="5E316C90"/>
    <w:rsid w:val="5EDF5C29"/>
    <w:rsid w:val="5F9F7520"/>
    <w:rsid w:val="603E5277"/>
    <w:rsid w:val="605C03FE"/>
    <w:rsid w:val="61D26985"/>
    <w:rsid w:val="63213C90"/>
    <w:rsid w:val="633C2D17"/>
    <w:rsid w:val="642E28B9"/>
    <w:rsid w:val="65B56002"/>
    <w:rsid w:val="66F4577D"/>
    <w:rsid w:val="688F1E83"/>
    <w:rsid w:val="691B530E"/>
    <w:rsid w:val="6A4C28F4"/>
    <w:rsid w:val="6A5B7C61"/>
    <w:rsid w:val="6DE244C0"/>
    <w:rsid w:val="6FC85D13"/>
    <w:rsid w:val="7089353E"/>
    <w:rsid w:val="71914FAD"/>
    <w:rsid w:val="74335733"/>
    <w:rsid w:val="750E6FD5"/>
    <w:rsid w:val="761B20AE"/>
    <w:rsid w:val="77083701"/>
    <w:rsid w:val="78C4626F"/>
    <w:rsid w:val="7C0520B7"/>
    <w:rsid w:val="7D250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Salutation"/>
    <w:basedOn w:val="1"/>
    <w:next w:val="1"/>
    <w:qFormat/>
    <w:uiPriority w:val="0"/>
    <w:rPr>
      <w:rFonts w:ascii="Times New Roman" w:hAnsi="Times New Roman" w:eastAsia="宋体" w:cs="Times New Roman"/>
      <w:szCs w:val="20"/>
    </w:rPr>
  </w:style>
  <w:style w:type="paragraph" w:styleId="3">
    <w:name w:val="Body Text Indent"/>
    <w:basedOn w:val="1"/>
    <w:autoRedefine/>
    <w:qFormat/>
    <w:uiPriority w:val="0"/>
    <w:pPr>
      <w:spacing w:after="120"/>
      <w:ind w:left="420" w:leftChars="20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2"/>
    <w:basedOn w:val="1"/>
    <w:qFormat/>
    <w:uiPriority w:val="99"/>
    <w:pPr>
      <w:spacing w:after="120" w:line="480" w:lineRule="auto"/>
    </w:pPr>
  </w:style>
  <w:style w:type="paragraph" w:styleId="7">
    <w:name w:val="Body Text First Indent 2"/>
    <w:basedOn w:val="3"/>
    <w:autoRedefine/>
    <w:qFormat/>
    <w:uiPriority w:val="0"/>
    <w:pPr>
      <w:ind w:firstLine="420" w:firstLineChars="200"/>
    </w:pPr>
  </w:style>
  <w:style w:type="paragraph" w:customStyle="1" w:styleId="10">
    <w:name w:val="正文缩进1"/>
    <w:basedOn w:val="1"/>
    <w:qFormat/>
    <w:uiPriority w:val="0"/>
    <w:pPr>
      <w:ind w:firstLine="420" w:firstLineChars="200"/>
    </w:pPr>
    <w:rPr>
      <w:szCs w:val="21"/>
    </w:rPr>
  </w:style>
  <w:style w:type="paragraph" w:customStyle="1" w:styleId="11">
    <w:name w:val="正文 缩进2字符"/>
    <w:basedOn w:val="1"/>
    <w:autoRedefine/>
    <w:qFormat/>
    <w:uiPriority w:val="0"/>
    <w:pPr>
      <w:spacing w:line="288" w:lineRule="auto"/>
    </w:pPr>
    <w:rPr>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651</Words>
  <Characters>666</Characters>
  <Lines>0</Lines>
  <Paragraphs>0</Paragraphs>
  <TotalTime>18</TotalTime>
  <ScaleCrop>false</ScaleCrop>
  <LinksUpToDate>false</LinksUpToDate>
  <CharactersWithSpaces>666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2024-03-01T02:14:00Z</dcterms:created>
  <dc:creator>47810</dc:creator>
  <cp:lastModifiedBy>根在河洛</cp:lastModifiedBy>
  <dcterms:modified xsi:type="dcterms:W3CDTF">2025-02-27T03:26:24Z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A565601325BA4102A39F8E18922FAF80_13</vt:lpwstr>
  </property>
  <property fmtid="{D5CDD505-2E9C-101B-9397-08002B2CF9AE}" pid="4" name="KSOTemplateDocerSaveRecord">
    <vt:lpwstr>eyJoZGlkIjoiNjI0MzFlMGMxMzg2YTgwMzA3OGVjNGM2Y2EzOTU4OGYiLCJ1c2VySWQiOiIyNDk4NjQ3MjQifQ==</vt:lpwstr>
  </property>
</Properties>
</file>